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EA77" w14:textId="77777777" w:rsidR="0080630C" w:rsidRPr="009B22D5" w:rsidRDefault="0080630C" w:rsidP="004E68D7">
      <w:pPr>
        <w:spacing w:line="360" w:lineRule="auto"/>
        <w:rPr>
          <w:rFonts w:cs="Arial"/>
          <w:b/>
          <w:bCs/>
          <w:sz w:val="32"/>
          <w:szCs w:val="32"/>
          <w:u w:val="single"/>
        </w:rPr>
      </w:pPr>
      <w:r w:rsidRPr="009B22D5">
        <w:rPr>
          <w:rFonts w:cs="Arial"/>
          <w:b/>
          <w:bCs/>
          <w:sz w:val="32"/>
          <w:szCs w:val="32"/>
          <w:u w:val="single"/>
        </w:rPr>
        <w:t>THIRD SECTOR TRENDS PRESS RELEASE</w:t>
      </w:r>
    </w:p>
    <w:p w14:paraId="53BCC79F" w14:textId="0AA0DF85" w:rsidR="0080630C" w:rsidRPr="009F04DF" w:rsidRDefault="0080630C" w:rsidP="004E68D7">
      <w:pPr>
        <w:spacing w:line="360" w:lineRule="auto"/>
        <w:rPr>
          <w:rFonts w:cs="Arial"/>
          <w:b/>
          <w:bCs/>
          <w:sz w:val="24"/>
          <w:szCs w:val="24"/>
        </w:rPr>
      </w:pPr>
      <w:r w:rsidRPr="009F04DF">
        <w:rPr>
          <w:rFonts w:cs="Arial"/>
          <w:b/>
          <w:bCs/>
          <w:sz w:val="24"/>
          <w:szCs w:val="24"/>
        </w:rPr>
        <w:t xml:space="preserve">Embargoed </w:t>
      </w:r>
      <w:r>
        <w:rPr>
          <w:rFonts w:cs="Arial"/>
          <w:b/>
          <w:bCs/>
          <w:sz w:val="24"/>
          <w:szCs w:val="24"/>
        </w:rPr>
        <w:t>Wednesday 1</w:t>
      </w:r>
      <w:r w:rsidR="00000BD0">
        <w:rPr>
          <w:rFonts w:cs="Arial"/>
          <w:b/>
          <w:bCs/>
          <w:sz w:val="24"/>
          <w:szCs w:val="24"/>
        </w:rPr>
        <w:t>8</w:t>
      </w:r>
      <w:r w:rsidR="00000BD0" w:rsidRPr="00000BD0">
        <w:rPr>
          <w:rFonts w:cs="Arial"/>
          <w:b/>
          <w:bCs/>
          <w:sz w:val="24"/>
          <w:szCs w:val="24"/>
          <w:vertAlign w:val="superscript"/>
        </w:rPr>
        <w:t>th</w:t>
      </w:r>
      <w:r w:rsidR="00000BD0">
        <w:rPr>
          <w:rFonts w:cs="Arial"/>
          <w:b/>
          <w:bCs/>
          <w:sz w:val="24"/>
          <w:szCs w:val="24"/>
        </w:rPr>
        <w:t xml:space="preserve"> January </w:t>
      </w:r>
      <w:r w:rsidRPr="009F04DF">
        <w:rPr>
          <w:rFonts w:cs="Arial"/>
          <w:b/>
          <w:bCs/>
          <w:sz w:val="24"/>
          <w:szCs w:val="24"/>
        </w:rPr>
        <w:t>202</w:t>
      </w:r>
      <w:r w:rsidR="00000BD0">
        <w:rPr>
          <w:rFonts w:cs="Arial"/>
          <w:b/>
          <w:bCs/>
          <w:sz w:val="24"/>
          <w:szCs w:val="24"/>
        </w:rPr>
        <w:t>3</w:t>
      </w:r>
      <w:r>
        <w:rPr>
          <w:rFonts w:cs="Arial"/>
          <w:b/>
          <w:bCs/>
          <w:sz w:val="24"/>
          <w:szCs w:val="24"/>
        </w:rPr>
        <w:t>, 00.00 GMT</w:t>
      </w:r>
    </w:p>
    <w:p w14:paraId="732906F4" w14:textId="1DB366C6" w:rsidR="000C474C" w:rsidRDefault="00000BD0" w:rsidP="00000BD0">
      <w:pPr>
        <w:spacing w:line="360" w:lineRule="auto"/>
        <w:ind w:right="260"/>
        <w:rPr>
          <w:rFonts w:cs="Arial"/>
          <w:b/>
          <w:bCs/>
          <w:sz w:val="40"/>
          <w:szCs w:val="40"/>
        </w:rPr>
      </w:pPr>
      <w:r>
        <w:rPr>
          <w:rFonts w:cs="Arial"/>
          <w:b/>
          <w:bCs/>
          <w:sz w:val="40"/>
          <w:szCs w:val="40"/>
        </w:rPr>
        <w:t>Testing times ahead for Third Sector finances</w:t>
      </w:r>
    </w:p>
    <w:p w14:paraId="07FCC584" w14:textId="5581120B" w:rsidR="000C474C" w:rsidRPr="00FC4AF1" w:rsidRDefault="00D36299" w:rsidP="004E68D7">
      <w:pPr>
        <w:spacing w:line="360" w:lineRule="auto"/>
        <w:ind w:right="260"/>
        <w:rPr>
          <w:rFonts w:cs="Arial"/>
          <w:b/>
          <w:bCs/>
          <w:i/>
          <w:iCs/>
          <w:sz w:val="28"/>
          <w:szCs w:val="28"/>
        </w:rPr>
      </w:pPr>
      <w:r w:rsidRPr="00D36299">
        <w:rPr>
          <w:rFonts w:cs="Arial"/>
          <w:sz w:val="28"/>
          <w:szCs w:val="28"/>
        </w:rPr>
        <w:t>New report</w:t>
      </w:r>
      <w:r>
        <w:rPr>
          <w:rFonts w:cs="Arial"/>
          <w:sz w:val="28"/>
          <w:szCs w:val="28"/>
        </w:rPr>
        <w:t xml:space="preserve">: </w:t>
      </w:r>
      <w:r w:rsidR="000C474C" w:rsidRPr="00FC4AF1">
        <w:rPr>
          <w:rFonts w:cs="Arial"/>
          <w:b/>
          <w:bCs/>
          <w:i/>
          <w:iCs/>
          <w:sz w:val="28"/>
          <w:szCs w:val="28"/>
        </w:rPr>
        <w:t xml:space="preserve">Third Sector Trends in England and Wales 2022: </w:t>
      </w:r>
      <w:r w:rsidR="00000BD0">
        <w:rPr>
          <w:rFonts w:cs="Arial"/>
          <w:b/>
          <w:bCs/>
          <w:i/>
          <w:iCs/>
          <w:sz w:val="28"/>
          <w:szCs w:val="28"/>
        </w:rPr>
        <w:t>finances, assets and organisational wellbeing</w:t>
      </w:r>
    </w:p>
    <w:p w14:paraId="0DC30DFD" w14:textId="77777777" w:rsidR="0080630C" w:rsidRDefault="0080630C" w:rsidP="004E68D7">
      <w:pPr>
        <w:spacing w:line="360" w:lineRule="auto"/>
        <w:rPr>
          <w:rFonts w:cs="Arial"/>
        </w:rPr>
      </w:pPr>
    </w:p>
    <w:p w14:paraId="3A31CB00" w14:textId="77777777" w:rsidR="00C82005" w:rsidRDefault="0080630C" w:rsidP="004E68D7">
      <w:pPr>
        <w:spacing w:after="160" w:line="360" w:lineRule="auto"/>
        <w:rPr>
          <w:rFonts w:cs="Arial"/>
          <w:sz w:val="24"/>
          <w:szCs w:val="24"/>
        </w:rPr>
      </w:pPr>
      <w:r w:rsidRPr="0092298D">
        <w:rPr>
          <w:rFonts w:cs="Arial"/>
          <w:b/>
          <w:bCs/>
          <w:sz w:val="24"/>
          <w:szCs w:val="24"/>
        </w:rPr>
        <w:t>Third Sector Trends</w:t>
      </w:r>
      <w:r>
        <w:rPr>
          <w:rFonts w:cs="Arial"/>
          <w:sz w:val="24"/>
          <w:szCs w:val="24"/>
        </w:rPr>
        <w:t xml:space="preserve"> has been surveying the </w:t>
      </w:r>
      <w:r w:rsidR="00C82005">
        <w:rPr>
          <w:rFonts w:cs="Arial"/>
          <w:sz w:val="24"/>
          <w:szCs w:val="24"/>
        </w:rPr>
        <w:t xml:space="preserve">voluntary, community and social enterprise </w:t>
      </w:r>
      <w:r>
        <w:rPr>
          <w:rFonts w:cs="Arial"/>
          <w:sz w:val="24"/>
          <w:szCs w:val="24"/>
        </w:rPr>
        <w:t>sector every three years since 2010</w:t>
      </w:r>
      <w:r w:rsidR="00C82005">
        <w:rPr>
          <w:rFonts w:cs="Arial"/>
          <w:sz w:val="24"/>
          <w:szCs w:val="24"/>
        </w:rPr>
        <w:t xml:space="preserve">. </w:t>
      </w:r>
      <w:r>
        <w:rPr>
          <w:rFonts w:cs="Arial"/>
          <w:sz w:val="24"/>
          <w:szCs w:val="24"/>
        </w:rPr>
        <w:t xml:space="preserve">In 2022, 6,071 responses were received across England and Wales (an average of ~600 responses in each region). </w:t>
      </w:r>
    </w:p>
    <w:p w14:paraId="018DDC84" w14:textId="289875BD" w:rsidR="0080630C" w:rsidRDefault="004E68D7" w:rsidP="004E68D7">
      <w:pPr>
        <w:spacing w:after="160" w:line="360" w:lineRule="auto"/>
        <w:rPr>
          <w:rFonts w:cs="Arial"/>
          <w:sz w:val="24"/>
          <w:szCs w:val="24"/>
        </w:rPr>
      </w:pPr>
      <w:r>
        <w:rPr>
          <w:rFonts w:cs="Arial"/>
          <w:sz w:val="24"/>
          <w:szCs w:val="24"/>
        </w:rPr>
        <w:t xml:space="preserve">This </w:t>
      </w:r>
      <w:r w:rsidR="0080630C">
        <w:rPr>
          <w:rFonts w:cs="Arial"/>
          <w:sz w:val="24"/>
          <w:szCs w:val="24"/>
        </w:rPr>
        <w:t>is the only fully representative longitudinal survey which can produce robust and detailed comparative analysis at a regional and national level.</w:t>
      </w:r>
    </w:p>
    <w:p w14:paraId="3A5159CB" w14:textId="1F35A2D1" w:rsidR="0080630C" w:rsidRPr="002D3267" w:rsidRDefault="0080630C" w:rsidP="004E68D7">
      <w:pPr>
        <w:spacing w:after="160" w:line="360" w:lineRule="auto"/>
        <w:rPr>
          <w:rFonts w:cs="Arial"/>
          <w:b/>
          <w:bCs/>
          <w:sz w:val="24"/>
          <w:szCs w:val="24"/>
        </w:rPr>
      </w:pPr>
      <w:r w:rsidRPr="002D3267">
        <w:rPr>
          <w:rFonts w:cs="Arial"/>
          <w:b/>
          <w:bCs/>
          <w:sz w:val="24"/>
          <w:szCs w:val="24"/>
        </w:rPr>
        <w:t xml:space="preserve">This is the </w:t>
      </w:r>
      <w:r w:rsidR="00000BD0">
        <w:rPr>
          <w:rFonts w:cs="Arial"/>
          <w:b/>
          <w:bCs/>
          <w:sz w:val="24"/>
          <w:szCs w:val="24"/>
        </w:rPr>
        <w:t>third o</w:t>
      </w:r>
      <w:r w:rsidRPr="002D3267">
        <w:rPr>
          <w:rFonts w:cs="Arial"/>
          <w:b/>
          <w:bCs/>
          <w:sz w:val="24"/>
          <w:szCs w:val="24"/>
        </w:rPr>
        <w:t xml:space="preserve">f five reports from Third Sector Trends </w:t>
      </w:r>
      <w:r w:rsidR="004E68D7">
        <w:rPr>
          <w:rFonts w:cs="Arial"/>
          <w:b/>
          <w:bCs/>
          <w:sz w:val="24"/>
          <w:szCs w:val="24"/>
        </w:rPr>
        <w:t xml:space="preserve">England and Wales </w:t>
      </w:r>
      <w:r w:rsidRPr="002D3267">
        <w:rPr>
          <w:rFonts w:cs="Arial"/>
          <w:b/>
          <w:bCs/>
          <w:sz w:val="24"/>
          <w:szCs w:val="24"/>
        </w:rPr>
        <w:t xml:space="preserve">2022. </w:t>
      </w:r>
    </w:p>
    <w:p w14:paraId="205CAA81" w14:textId="77777777" w:rsidR="0029174C" w:rsidRPr="007E4F87" w:rsidRDefault="0029174C" w:rsidP="0029174C">
      <w:pPr>
        <w:pStyle w:val="Heading1"/>
        <w:rPr>
          <w:rStyle w:val="PPsubheading"/>
          <w:rFonts w:eastAsiaTheme="minorHAnsi"/>
          <w:b w:val="0"/>
          <w:i w:val="0"/>
          <w:iCs/>
          <w:sz w:val="4"/>
          <w:szCs w:val="4"/>
        </w:rPr>
      </w:pPr>
    </w:p>
    <w:p w14:paraId="1E05E252" w14:textId="77777777" w:rsidR="0029174C" w:rsidRPr="0029174C" w:rsidRDefault="0029174C" w:rsidP="0029174C">
      <w:pPr>
        <w:pStyle w:val="Heading1"/>
        <w:spacing w:line="360" w:lineRule="auto"/>
        <w:rPr>
          <w:rStyle w:val="PPsubheading"/>
          <w:rFonts w:eastAsiaTheme="majorEastAsia"/>
          <w:sz w:val="24"/>
          <w:szCs w:val="24"/>
        </w:rPr>
      </w:pPr>
      <w:r w:rsidRPr="0029174C">
        <w:rPr>
          <w:rStyle w:val="PPsubheading"/>
          <w:rFonts w:eastAsiaTheme="majorEastAsia"/>
          <w:sz w:val="24"/>
          <w:szCs w:val="24"/>
        </w:rPr>
        <w:t>Relationships with grant making trusts and foundations</w:t>
      </w:r>
    </w:p>
    <w:p w14:paraId="30B00332" w14:textId="725E38BF" w:rsidR="0029174C" w:rsidRPr="0029174C" w:rsidRDefault="0029174C" w:rsidP="0029174C">
      <w:pPr>
        <w:spacing w:after="160" w:line="360" w:lineRule="auto"/>
        <w:rPr>
          <w:rFonts w:cs="Arial"/>
          <w:sz w:val="24"/>
          <w:szCs w:val="24"/>
        </w:rPr>
      </w:pPr>
      <w:r w:rsidRPr="0029174C">
        <w:rPr>
          <w:rFonts w:cs="Arial"/>
          <w:sz w:val="24"/>
          <w:szCs w:val="24"/>
        </w:rPr>
        <w:t>Relationships with grant funders have changed since 2019</w:t>
      </w:r>
      <w:r w:rsidR="00F2348B">
        <w:rPr>
          <w:rFonts w:cs="Arial"/>
          <w:sz w:val="24"/>
          <w:szCs w:val="24"/>
        </w:rPr>
        <w:t xml:space="preserve">. </w:t>
      </w:r>
      <w:r w:rsidRPr="0029174C">
        <w:rPr>
          <w:rFonts w:cs="Arial"/>
          <w:sz w:val="24"/>
          <w:szCs w:val="24"/>
        </w:rPr>
        <w:t>The research shows that many grant makers relaxed their approach to funding during the Covid-19 pandemic</w:t>
      </w:r>
      <w:r w:rsidR="00F2348B" w:rsidRPr="00F2348B">
        <w:rPr>
          <w:rFonts w:cs="Arial"/>
          <w:sz w:val="24"/>
          <w:szCs w:val="24"/>
        </w:rPr>
        <w:t xml:space="preserve"> </w:t>
      </w:r>
      <w:r w:rsidR="00F2348B">
        <w:rPr>
          <w:rFonts w:cs="Arial"/>
          <w:sz w:val="24"/>
          <w:szCs w:val="24"/>
        </w:rPr>
        <w:t>(p</w:t>
      </w:r>
      <w:r w:rsidR="00F2348B" w:rsidRPr="0029174C">
        <w:rPr>
          <w:rFonts w:cs="Arial"/>
          <w:sz w:val="24"/>
          <w:szCs w:val="24"/>
        </w:rPr>
        <w:t>ercentages refer to TSOs which ‘agree’ or ‘strongly’ agree with statements</w:t>
      </w:r>
      <w:r w:rsidR="00F2348B">
        <w:rPr>
          <w:rFonts w:cs="Arial"/>
          <w:sz w:val="24"/>
          <w:szCs w:val="24"/>
        </w:rPr>
        <w:t>)</w:t>
      </w:r>
      <w:r w:rsidR="00F2348B" w:rsidRPr="0029174C">
        <w:rPr>
          <w:rFonts w:cs="Arial"/>
          <w:sz w:val="24"/>
          <w:szCs w:val="24"/>
        </w:rPr>
        <w:t>.</w:t>
      </w:r>
    </w:p>
    <w:p w14:paraId="6B77682F" w14:textId="77777777" w:rsidR="0029174C" w:rsidRPr="006A447B" w:rsidRDefault="0029174C" w:rsidP="0029174C">
      <w:pPr>
        <w:pStyle w:val="ListParagraph"/>
        <w:numPr>
          <w:ilvl w:val="0"/>
          <w:numId w:val="10"/>
        </w:numPr>
        <w:ind w:left="714" w:hanging="357"/>
        <w:contextualSpacing w:val="0"/>
        <w:rPr>
          <w:rFonts w:cs="Arial"/>
          <w:sz w:val="24"/>
          <w:szCs w:val="24"/>
        </w:rPr>
      </w:pPr>
      <w:r w:rsidRPr="006A447B">
        <w:rPr>
          <w:rFonts w:cs="Arial"/>
          <w:sz w:val="24"/>
          <w:szCs w:val="24"/>
        </w:rPr>
        <w:t xml:space="preserve">In 2019 only 46 per cent of TSOs stated that they received unrestricted or ‘core funding’ compared with 60 per cent in 2022.  </w:t>
      </w:r>
    </w:p>
    <w:p w14:paraId="5EE4B6CD" w14:textId="77777777" w:rsidR="0029174C" w:rsidRPr="006A447B" w:rsidRDefault="0029174C" w:rsidP="0029174C">
      <w:pPr>
        <w:pStyle w:val="ListParagraph"/>
        <w:numPr>
          <w:ilvl w:val="0"/>
          <w:numId w:val="10"/>
        </w:numPr>
        <w:ind w:left="714" w:hanging="357"/>
        <w:contextualSpacing w:val="0"/>
        <w:rPr>
          <w:rFonts w:cs="Arial"/>
          <w:sz w:val="24"/>
          <w:szCs w:val="24"/>
        </w:rPr>
      </w:pPr>
      <w:r w:rsidRPr="006A447B">
        <w:rPr>
          <w:rFonts w:cs="Arial"/>
          <w:sz w:val="24"/>
          <w:szCs w:val="24"/>
        </w:rPr>
        <w:t>In 2019 only a quarter of TSOs reported that grant funders had approached them. This rose to 40 per cent in 2022.</w:t>
      </w:r>
    </w:p>
    <w:p w14:paraId="0745CDB0" w14:textId="77777777" w:rsidR="0029174C" w:rsidRPr="0029174C" w:rsidRDefault="0029174C" w:rsidP="0029174C">
      <w:pPr>
        <w:spacing w:line="360" w:lineRule="auto"/>
        <w:rPr>
          <w:rFonts w:cs="Arial"/>
          <w:sz w:val="24"/>
          <w:szCs w:val="24"/>
        </w:rPr>
      </w:pPr>
      <w:r w:rsidRPr="0029174C">
        <w:rPr>
          <w:rFonts w:cs="Arial"/>
          <w:sz w:val="24"/>
          <w:szCs w:val="24"/>
        </w:rPr>
        <w:t xml:space="preserve">There is good evidence to show that funders have taken a ‘lighter touch’ to grant making approach during the pandemic. </w:t>
      </w:r>
    </w:p>
    <w:p w14:paraId="1BF08C0B" w14:textId="77777777" w:rsidR="0029174C" w:rsidRPr="0029174C" w:rsidRDefault="0029174C" w:rsidP="0029174C">
      <w:pPr>
        <w:pStyle w:val="ListParagraph"/>
        <w:numPr>
          <w:ilvl w:val="0"/>
          <w:numId w:val="9"/>
        </w:numPr>
        <w:ind w:left="714" w:hanging="357"/>
        <w:contextualSpacing w:val="0"/>
        <w:rPr>
          <w:rFonts w:cs="Arial"/>
          <w:sz w:val="24"/>
          <w:szCs w:val="24"/>
        </w:rPr>
      </w:pPr>
      <w:r w:rsidRPr="0029174C">
        <w:rPr>
          <w:rFonts w:cs="Arial"/>
          <w:sz w:val="24"/>
          <w:szCs w:val="24"/>
        </w:rPr>
        <w:t xml:space="preserve">Pressure to provide evidence of impact fell from 55 per cent to 32 per cent. </w:t>
      </w:r>
    </w:p>
    <w:p w14:paraId="763930D3" w14:textId="1E3CE24B" w:rsidR="0029174C" w:rsidRPr="0029174C" w:rsidRDefault="0029174C" w:rsidP="0029174C">
      <w:pPr>
        <w:pStyle w:val="ListParagraph"/>
        <w:numPr>
          <w:ilvl w:val="0"/>
          <w:numId w:val="9"/>
        </w:numPr>
        <w:ind w:left="714" w:hanging="357"/>
        <w:contextualSpacing w:val="0"/>
        <w:rPr>
          <w:rFonts w:cs="Arial"/>
          <w:sz w:val="24"/>
          <w:szCs w:val="24"/>
        </w:rPr>
      </w:pPr>
      <w:r w:rsidRPr="0029174C">
        <w:rPr>
          <w:rFonts w:cs="Arial"/>
          <w:sz w:val="24"/>
          <w:szCs w:val="24"/>
        </w:rPr>
        <w:t xml:space="preserve">Expectations that practice should be </w:t>
      </w:r>
      <w:r w:rsidR="00F2348B">
        <w:rPr>
          <w:rFonts w:cs="Arial"/>
          <w:sz w:val="24"/>
          <w:szCs w:val="24"/>
        </w:rPr>
        <w:t>‘</w:t>
      </w:r>
      <w:r w:rsidRPr="0029174C">
        <w:rPr>
          <w:rFonts w:cs="Arial"/>
          <w:sz w:val="24"/>
          <w:szCs w:val="24"/>
        </w:rPr>
        <w:t>innovative</w:t>
      </w:r>
      <w:r w:rsidR="00F2348B">
        <w:rPr>
          <w:rFonts w:cs="Arial"/>
          <w:sz w:val="24"/>
          <w:szCs w:val="24"/>
        </w:rPr>
        <w:t>’</w:t>
      </w:r>
      <w:r w:rsidRPr="0029174C">
        <w:rPr>
          <w:rFonts w:cs="Arial"/>
          <w:sz w:val="24"/>
          <w:szCs w:val="24"/>
        </w:rPr>
        <w:t xml:space="preserve"> fell from 74 per cent to 50 per cent. </w:t>
      </w:r>
    </w:p>
    <w:p w14:paraId="1942E047" w14:textId="77777777" w:rsidR="00F2348B" w:rsidRDefault="0029174C" w:rsidP="00F2348B">
      <w:pPr>
        <w:spacing w:line="360" w:lineRule="auto"/>
        <w:rPr>
          <w:rFonts w:cs="Arial"/>
          <w:sz w:val="24"/>
          <w:szCs w:val="24"/>
        </w:rPr>
      </w:pPr>
      <w:r w:rsidRPr="0029174C">
        <w:rPr>
          <w:rFonts w:cs="Arial"/>
          <w:sz w:val="24"/>
          <w:szCs w:val="24"/>
        </w:rPr>
        <w:t>Some aspects of inter-relationships with grant-making trusts and foundations did not change:</w:t>
      </w:r>
    </w:p>
    <w:p w14:paraId="727338A7" w14:textId="635A462C" w:rsidR="0029174C" w:rsidRPr="00F2348B" w:rsidRDefault="0029174C" w:rsidP="00F2348B">
      <w:pPr>
        <w:pStyle w:val="ListParagraph"/>
        <w:numPr>
          <w:ilvl w:val="0"/>
          <w:numId w:val="15"/>
        </w:numPr>
        <w:rPr>
          <w:rFonts w:cs="Arial"/>
          <w:sz w:val="24"/>
          <w:szCs w:val="24"/>
        </w:rPr>
      </w:pPr>
      <w:r w:rsidRPr="00F2348B">
        <w:rPr>
          <w:rFonts w:cs="Arial"/>
          <w:sz w:val="24"/>
          <w:szCs w:val="24"/>
        </w:rPr>
        <w:lastRenderedPageBreak/>
        <w:t xml:space="preserve">The percentage of organisations stating that grant makers made a long-term contribution to their work remained about the same between 2019 and 2022 at 31-32 per cent. </w:t>
      </w:r>
    </w:p>
    <w:p w14:paraId="49516264" w14:textId="77777777" w:rsidR="0029174C" w:rsidRPr="0029174C" w:rsidRDefault="0029174C" w:rsidP="0029174C">
      <w:pPr>
        <w:rPr>
          <w:sz w:val="24"/>
          <w:szCs w:val="24"/>
        </w:rPr>
      </w:pPr>
      <w:r w:rsidRPr="0029174C">
        <w:rPr>
          <w:sz w:val="24"/>
          <w:szCs w:val="24"/>
        </w:rPr>
        <w:t>As the report concludes:</w:t>
      </w:r>
    </w:p>
    <w:p w14:paraId="52387CC1" w14:textId="77777777" w:rsidR="0029174C" w:rsidRPr="0029174C" w:rsidRDefault="0029174C" w:rsidP="0029174C">
      <w:pPr>
        <w:rPr>
          <w:rFonts w:eastAsia="Calibri" w:cs="Arial"/>
          <w:b/>
          <w:bCs/>
          <w:i/>
          <w:iCs/>
          <w:kern w:val="2"/>
          <w:sz w:val="24"/>
          <w:szCs w:val="24"/>
          <w14:ligatures w14:val="standardContextual"/>
        </w:rPr>
      </w:pPr>
      <w:r w:rsidRPr="0029174C">
        <w:rPr>
          <w:rFonts w:eastAsia="Calibri" w:cs="Arial"/>
          <w:b/>
          <w:bCs/>
          <w:i/>
          <w:iCs/>
          <w:kern w:val="2"/>
          <w:sz w:val="24"/>
          <w:szCs w:val="24"/>
          <w14:ligatures w14:val="standardContextual"/>
        </w:rPr>
        <w:t xml:space="preserve">“The benefits of these changes are plain to see. 83 per cent of organisations have reserves now compared with 76% in 2019. In 2022, 45 per cent of organisations have not drawn on reserves compared with 36% in 2019… The question is, will those grant makers which became more relaxed about how they dispensed their money remain so? </w:t>
      </w:r>
    </w:p>
    <w:p w14:paraId="5C16DD91" w14:textId="07275294" w:rsidR="0029174C" w:rsidRPr="0029174C" w:rsidRDefault="0029174C" w:rsidP="0029174C">
      <w:pPr>
        <w:rPr>
          <w:rFonts w:eastAsia="Calibri" w:cs="Arial"/>
          <w:b/>
          <w:bCs/>
          <w:i/>
          <w:iCs/>
          <w:kern w:val="2"/>
          <w:sz w:val="24"/>
          <w:szCs w:val="24"/>
          <w14:ligatures w14:val="standardContextual"/>
        </w:rPr>
      </w:pPr>
      <w:r w:rsidRPr="0029174C">
        <w:rPr>
          <w:rFonts w:eastAsia="Calibri" w:cs="Arial"/>
          <w:b/>
          <w:bCs/>
          <w:i/>
          <w:iCs/>
          <w:kern w:val="2"/>
          <w:sz w:val="24"/>
          <w:szCs w:val="24"/>
          <w14:ligatures w14:val="standardContextual"/>
        </w:rPr>
        <w:t xml:space="preserve">Some grant funders have always operated in a responsive way to the needs of charities and social enterprises and trust them to get things done. Others may be keener again to shape and direct the way their money has an impact on local communities and seek evidence </w:t>
      </w:r>
      <w:r w:rsidR="00F2348B">
        <w:rPr>
          <w:rFonts w:eastAsia="Calibri" w:cs="Arial"/>
          <w:b/>
          <w:bCs/>
          <w:i/>
          <w:iCs/>
          <w:kern w:val="2"/>
          <w:sz w:val="24"/>
          <w:szCs w:val="24"/>
          <w14:ligatures w14:val="standardContextual"/>
        </w:rPr>
        <w:t xml:space="preserve">for </w:t>
      </w:r>
      <w:r w:rsidRPr="0029174C">
        <w:rPr>
          <w:rFonts w:eastAsia="Calibri" w:cs="Arial"/>
          <w:b/>
          <w:bCs/>
          <w:i/>
          <w:iCs/>
          <w:kern w:val="2"/>
          <w:sz w:val="24"/>
          <w:szCs w:val="24"/>
          <w14:ligatures w14:val="standardContextual"/>
        </w:rPr>
        <w:t>the changes that were achieved.”</w:t>
      </w:r>
    </w:p>
    <w:p w14:paraId="743EDB44" w14:textId="77777777" w:rsidR="0029174C" w:rsidRPr="0029174C" w:rsidRDefault="0029174C" w:rsidP="0029174C">
      <w:pPr>
        <w:rPr>
          <w:sz w:val="24"/>
          <w:szCs w:val="24"/>
        </w:rPr>
      </w:pPr>
    </w:p>
    <w:p w14:paraId="2A6EA682" w14:textId="77777777" w:rsidR="0029174C" w:rsidRPr="0029174C" w:rsidRDefault="0029174C" w:rsidP="0029174C">
      <w:pPr>
        <w:rPr>
          <w:b/>
          <w:bCs/>
          <w:i/>
          <w:iCs/>
          <w:sz w:val="24"/>
          <w:szCs w:val="24"/>
        </w:rPr>
      </w:pPr>
      <w:r w:rsidRPr="0029174C">
        <w:rPr>
          <w:b/>
          <w:bCs/>
          <w:i/>
          <w:iCs/>
          <w:sz w:val="24"/>
          <w:szCs w:val="24"/>
        </w:rPr>
        <w:t>Public service delivery contracts</w:t>
      </w:r>
    </w:p>
    <w:p w14:paraId="71F684CB" w14:textId="77777777" w:rsidR="0029174C" w:rsidRPr="0029174C" w:rsidRDefault="0029174C" w:rsidP="0029174C">
      <w:pPr>
        <w:spacing w:line="360" w:lineRule="auto"/>
        <w:rPr>
          <w:b/>
          <w:bCs/>
          <w:i/>
          <w:iCs/>
          <w:color w:val="2F5496" w:themeColor="accent1" w:themeShade="BF"/>
          <w:sz w:val="24"/>
          <w:szCs w:val="24"/>
        </w:rPr>
      </w:pPr>
      <w:r w:rsidRPr="0029174C">
        <w:rPr>
          <w:sz w:val="24"/>
          <w:szCs w:val="24"/>
        </w:rPr>
        <w:t xml:space="preserve">Political enthusiasm for engaging the Third Sector in the delivery of contracts was at its strongest in the first decade of this century. This policy drive </w:t>
      </w:r>
      <w:r w:rsidRPr="0029174C">
        <w:rPr>
          <w:rFonts w:eastAsia="Times New Roman" w:cs="Arial"/>
          <w:sz w:val="24"/>
          <w:szCs w:val="24"/>
          <w:lang w:eastAsia="en-GB"/>
        </w:rPr>
        <w:t>derived from an assumption that TSOs could be incentivised to undertake work for government at local and national level in a ‘mixed economy of welfare'.</w:t>
      </w:r>
    </w:p>
    <w:p w14:paraId="19514919" w14:textId="77777777" w:rsidR="0029174C" w:rsidRPr="0029174C" w:rsidRDefault="0029174C" w:rsidP="0029174C">
      <w:pPr>
        <w:spacing w:line="360" w:lineRule="auto"/>
        <w:rPr>
          <w:sz w:val="24"/>
          <w:szCs w:val="24"/>
        </w:rPr>
      </w:pPr>
      <w:r w:rsidRPr="0029174C">
        <w:rPr>
          <w:sz w:val="24"/>
          <w:szCs w:val="24"/>
        </w:rPr>
        <w:t>Despite government efforts to incentivise and help prepare TSOs to engage in the delivery of contracts, such opportunities still only attract small section of organisations in the Third Sector.</w:t>
      </w:r>
    </w:p>
    <w:p w14:paraId="5E6E068B" w14:textId="4B1C587C" w:rsidR="0029174C" w:rsidRPr="0029174C" w:rsidRDefault="00F2348B" w:rsidP="0029174C">
      <w:pPr>
        <w:pStyle w:val="ListParagraph"/>
        <w:numPr>
          <w:ilvl w:val="0"/>
          <w:numId w:val="11"/>
        </w:numPr>
        <w:ind w:left="714" w:hanging="357"/>
        <w:contextualSpacing w:val="0"/>
        <w:rPr>
          <w:sz w:val="24"/>
          <w:szCs w:val="24"/>
        </w:rPr>
      </w:pPr>
      <w:r>
        <w:rPr>
          <w:sz w:val="24"/>
          <w:szCs w:val="24"/>
        </w:rPr>
        <w:t xml:space="preserve">Due to their </w:t>
      </w:r>
      <w:r w:rsidRPr="0029174C">
        <w:rPr>
          <w:sz w:val="24"/>
          <w:szCs w:val="24"/>
        </w:rPr>
        <w:t>purpose and scale of their activities</w:t>
      </w:r>
      <w:r>
        <w:rPr>
          <w:sz w:val="24"/>
          <w:szCs w:val="24"/>
        </w:rPr>
        <w:t>, f</w:t>
      </w:r>
      <w:r w:rsidR="0029174C" w:rsidRPr="0029174C">
        <w:rPr>
          <w:sz w:val="24"/>
          <w:szCs w:val="24"/>
        </w:rPr>
        <w:t>ewer than 5% of micro and small organisations</w:t>
      </w:r>
      <w:r>
        <w:rPr>
          <w:sz w:val="24"/>
          <w:szCs w:val="24"/>
        </w:rPr>
        <w:t xml:space="preserve"> have been </w:t>
      </w:r>
      <w:r w:rsidR="0029174C" w:rsidRPr="0029174C">
        <w:rPr>
          <w:sz w:val="24"/>
          <w:szCs w:val="24"/>
        </w:rPr>
        <w:t xml:space="preserve">interested in public-service delivery contracts since 2013. </w:t>
      </w:r>
    </w:p>
    <w:p w14:paraId="3DFDE0C2" w14:textId="77777777" w:rsidR="0029174C" w:rsidRPr="0029174C" w:rsidRDefault="0029174C" w:rsidP="0029174C">
      <w:pPr>
        <w:pStyle w:val="ListParagraph"/>
        <w:numPr>
          <w:ilvl w:val="0"/>
          <w:numId w:val="11"/>
        </w:numPr>
        <w:ind w:left="714" w:hanging="357"/>
        <w:contextualSpacing w:val="0"/>
        <w:rPr>
          <w:sz w:val="24"/>
          <w:szCs w:val="24"/>
        </w:rPr>
      </w:pPr>
      <w:r w:rsidRPr="0029174C">
        <w:rPr>
          <w:sz w:val="24"/>
          <w:szCs w:val="24"/>
        </w:rPr>
        <w:t xml:space="preserve">Medium-sized organisations (income £250,000-£1million) </w:t>
      </w:r>
      <w:r w:rsidRPr="00F2348B">
        <w:rPr>
          <w:b/>
          <w:bCs/>
          <w:sz w:val="24"/>
          <w:szCs w:val="24"/>
        </w:rPr>
        <w:t xml:space="preserve">have become progressively </w:t>
      </w:r>
      <w:r w:rsidRPr="00F2348B">
        <w:rPr>
          <w:b/>
          <w:bCs/>
          <w:sz w:val="24"/>
          <w:szCs w:val="24"/>
          <w:u w:val="single"/>
        </w:rPr>
        <w:t>less</w:t>
      </w:r>
      <w:r w:rsidRPr="00F2348B">
        <w:rPr>
          <w:b/>
          <w:bCs/>
          <w:sz w:val="24"/>
          <w:szCs w:val="24"/>
        </w:rPr>
        <w:t xml:space="preserve"> likely to engage in bidding for or delivering contracts</w:t>
      </w:r>
      <w:r w:rsidRPr="0029174C">
        <w:rPr>
          <w:sz w:val="24"/>
          <w:szCs w:val="24"/>
        </w:rPr>
        <w:t xml:space="preserve"> – falling from 52% in 2013 to 36% in 2022.</w:t>
      </w:r>
    </w:p>
    <w:p w14:paraId="4FA43948" w14:textId="77777777" w:rsidR="0029174C" w:rsidRPr="0029174C" w:rsidRDefault="0029174C" w:rsidP="0029174C">
      <w:pPr>
        <w:pStyle w:val="ListParagraph"/>
        <w:numPr>
          <w:ilvl w:val="0"/>
          <w:numId w:val="11"/>
        </w:numPr>
        <w:ind w:left="714" w:hanging="357"/>
        <w:contextualSpacing w:val="0"/>
        <w:rPr>
          <w:sz w:val="24"/>
          <w:szCs w:val="24"/>
        </w:rPr>
      </w:pPr>
      <w:r w:rsidRPr="0029174C">
        <w:rPr>
          <w:sz w:val="24"/>
          <w:szCs w:val="24"/>
        </w:rPr>
        <w:t>Only the biggest TSOs (with income above £1million) have sustained involvement in such work (about 60% of bigger organisations in major urban areas and about 50% of bigger organisations nationally.</w:t>
      </w:r>
    </w:p>
    <w:p w14:paraId="6A3671F2" w14:textId="77777777" w:rsidR="0029174C" w:rsidRPr="0029174C" w:rsidRDefault="0029174C" w:rsidP="0029174C">
      <w:pPr>
        <w:rPr>
          <w:sz w:val="24"/>
          <w:szCs w:val="24"/>
        </w:rPr>
      </w:pPr>
      <w:r w:rsidRPr="0029174C">
        <w:rPr>
          <w:sz w:val="24"/>
          <w:szCs w:val="24"/>
        </w:rPr>
        <w:t xml:space="preserve">As the report concludes: </w:t>
      </w:r>
    </w:p>
    <w:p w14:paraId="45BE353E" w14:textId="77777777" w:rsidR="0029174C" w:rsidRPr="0029174C" w:rsidRDefault="0029174C" w:rsidP="0029174C">
      <w:pPr>
        <w:rPr>
          <w:rFonts w:eastAsia="Calibri" w:cs="Arial"/>
          <w:b/>
          <w:bCs/>
          <w:i/>
          <w:iCs/>
          <w:kern w:val="2"/>
          <w:sz w:val="24"/>
          <w:szCs w:val="24"/>
          <w14:ligatures w14:val="standardContextual"/>
        </w:rPr>
      </w:pPr>
      <w:r w:rsidRPr="0029174C">
        <w:rPr>
          <w:rFonts w:eastAsia="Calibri" w:cs="Arial"/>
          <w:b/>
          <w:bCs/>
          <w:i/>
          <w:iCs/>
          <w:kern w:val="2"/>
          <w:sz w:val="24"/>
          <w:szCs w:val="24"/>
          <w14:ligatures w14:val="standardContextual"/>
        </w:rPr>
        <w:t>“Organisations that deliver contracts are the most likely to be struggling to retain staff and recruit others. If wages are poor, because contract values are too low, then staff will not be available to deliver them.  And to compound this problem, those TSOs which previously chose to subsidise contracts using trading income may struggle now to do this in challenging economic circumstances.”</w:t>
      </w:r>
    </w:p>
    <w:p w14:paraId="2D0D6DAE" w14:textId="77777777" w:rsidR="0029174C" w:rsidRPr="0029174C" w:rsidRDefault="0029174C" w:rsidP="0029174C">
      <w:pPr>
        <w:rPr>
          <w:sz w:val="24"/>
          <w:szCs w:val="24"/>
        </w:rPr>
      </w:pPr>
    </w:p>
    <w:p w14:paraId="77358419" w14:textId="77777777" w:rsidR="0029174C" w:rsidRPr="0029174C" w:rsidRDefault="0029174C" w:rsidP="0029174C">
      <w:pPr>
        <w:rPr>
          <w:sz w:val="24"/>
          <w:szCs w:val="24"/>
        </w:rPr>
      </w:pPr>
    </w:p>
    <w:p w14:paraId="5B19B5C1" w14:textId="77777777" w:rsidR="0029174C" w:rsidRPr="0029174C" w:rsidRDefault="0029174C" w:rsidP="0029174C">
      <w:pPr>
        <w:rPr>
          <w:sz w:val="24"/>
          <w:szCs w:val="24"/>
        </w:rPr>
      </w:pPr>
    </w:p>
    <w:p w14:paraId="045EA4ED" w14:textId="77777777" w:rsidR="0029174C" w:rsidRPr="0029174C" w:rsidRDefault="0029174C" w:rsidP="0029174C">
      <w:pPr>
        <w:pStyle w:val="Heading2"/>
        <w:ind w:left="0"/>
        <w:rPr>
          <w:rStyle w:val="PPsubheading"/>
          <w:b/>
          <w:bCs/>
          <w:sz w:val="24"/>
          <w:szCs w:val="24"/>
        </w:rPr>
      </w:pPr>
      <w:r w:rsidRPr="00F2348B">
        <w:rPr>
          <w:rStyle w:val="PPsubheading"/>
          <w:b/>
          <w:bCs/>
          <w:sz w:val="24"/>
          <w:szCs w:val="24"/>
        </w:rPr>
        <w:t>Earned income f</w:t>
      </w:r>
      <w:r w:rsidRPr="0029174C">
        <w:rPr>
          <w:rStyle w:val="PPsubheading"/>
          <w:b/>
          <w:bCs/>
          <w:sz w:val="24"/>
          <w:szCs w:val="24"/>
        </w:rPr>
        <w:t>rom self-generated trading</w:t>
      </w:r>
    </w:p>
    <w:p w14:paraId="3DE9DC95" w14:textId="77777777" w:rsidR="0029174C" w:rsidRPr="0029174C" w:rsidRDefault="0029174C" w:rsidP="0029174C">
      <w:pPr>
        <w:spacing w:line="360" w:lineRule="auto"/>
        <w:rPr>
          <w:sz w:val="24"/>
          <w:szCs w:val="24"/>
        </w:rPr>
      </w:pPr>
      <w:r w:rsidRPr="0029174C">
        <w:rPr>
          <w:sz w:val="24"/>
          <w:szCs w:val="24"/>
        </w:rPr>
        <w:t xml:space="preserve">Self-generated trading includes the delivery of services that clients pay for (such as childcare or community cafes), ticketing for events, rent of space or production and sale of goods. </w:t>
      </w:r>
    </w:p>
    <w:p w14:paraId="4FC01AB7" w14:textId="33DF6946" w:rsidR="0029174C" w:rsidRPr="0029174C" w:rsidRDefault="0029174C" w:rsidP="0029174C">
      <w:pPr>
        <w:pStyle w:val="ListParagraph"/>
        <w:numPr>
          <w:ilvl w:val="0"/>
          <w:numId w:val="12"/>
        </w:numPr>
        <w:ind w:left="714" w:hanging="357"/>
        <w:contextualSpacing w:val="0"/>
        <w:rPr>
          <w:sz w:val="24"/>
          <w:szCs w:val="24"/>
        </w:rPr>
      </w:pPr>
      <w:r w:rsidRPr="0029174C">
        <w:rPr>
          <w:sz w:val="24"/>
          <w:szCs w:val="24"/>
        </w:rPr>
        <w:t xml:space="preserve">About 60 per cent of organisations in the Third Sector earn </w:t>
      </w:r>
      <w:r w:rsidR="00F2348B">
        <w:rPr>
          <w:sz w:val="24"/>
          <w:szCs w:val="24"/>
        </w:rPr>
        <w:t xml:space="preserve">some </w:t>
      </w:r>
      <w:r w:rsidRPr="0029174C">
        <w:rPr>
          <w:sz w:val="24"/>
          <w:szCs w:val="24"/>
        </w:rPr>
        <w:t xml:space="preserve">of their income by delivering contracts or self-generated trading of goods or services. </w:t>
      </w:r>
    </w:p>
    <w:p w14:paraId="17CDCF7A" w14:textId="77777777" w:rsidR="0029174C" w:rsidRPr="0029174C" w:rsidRDefault="0029174C" w:rsidP="0029174C">
      <w:pPr>
        <w:pStyle w:val="ListParagraph"/>
        <w:numPr>
          <w:ilvl w:val="0"/>
          <w:numId w:val="12"/>
        </w:numPr>
        <w:ind w:left="714" w:hanging="357"/>
        <w:contextualSpacing w:val="0"/>
        <w:rPr>
          <w:sz w:val="24"/>
          <w:szCs w:val="24"/>
        </w:rPr>
      </w:pPr>
      <w:r w:rsidRPr="0029174C">
        <w:rPr>
          <w:sz w:val="24"/>
          <w:szCs w:val="24"/>
        </w:rPr>
        <w:t>The proportion of TSOs which earn more than 80 per cent of their income from trading has fallen since 2013 from 20% to 14%.</w:t>
      </w:r>
    </w:p>
    <w:p w14:paraId="4D9D2B80" w14:textId="77777777" w:rsidR="0029174C" w:rsidRPr="0029174C" w:rsidRDefault="0029174C" w:rsidP="0029174C">
      <w:pPr>
        <w:pStyle w:val="ListParagraph"/>
        <w:numPr>
          <w:ilvl w:val="0"/>
          <w:numId w:val="12"/>
        </w:numPr>
        <w:ind w:left="714" w:hanging="357"/>
        <w:contextualSpacing w:val="0"/>
        <w:rPr>
          <w:sz w:val="24"/>
          <w:szCs w:val="24"/>
        </w:rPr>
      </w:pPr>
      <w:r w:rsidRPr="0029174C">
        <w:rPr>
          <w:sz w:val="24"/>
          <w:szCs w:val="24"/>
        </w:rPr>
        <w:t>The overall proportion of organisations which trade has not increased. In fact it has fallen very slightly, but steadily, from 68 per cent in 2013 to 66 per cent in 2022.</w:t>
      </w:r>
    </w:p>
    <w:p w14:paraId="219A9F79" w14:textId="77777777" w:rsidR="0029174C" w:rsidRPr="0029174C" w:rsidRDefault="0029174C" w:rsidP="0029174C">
      <w:pPr>
        <w:rPr>
          <w:sz w:val="24"/>
          <w:szCs w:val="24"/>
        </w:rPr>
      </w:pPr>
      <w:r w:rsidRPr="0029174C">
        <w:rPr>
          <w:sz w:val="24"/>
          <w:szCs w:val="24"/>
        </w:rPr>
        <w:t>As the report concludes:</w:t>
      </w:r>
    </w:p>
    <w:p w14:paraId="43E4B3DB" w14:textId="02182E85" w:rsidR="0029174C" w:rsidRPr="0029174C" w:rsidRDefault="0029174C" w:rsidP="0029174C">
      <w:pPr>
        <w:rPr>
          <w:rFonts w:eastAsia="Calibri" w:cs="Arial"/>
          <w:b/>
          <w:bCs/>
          <w:i/>
          <w:iCs/>
          <w:kern w:val="2"/>
          <w:sz w:val="24"/>
          <w:szCs w:val="24"/>
          <w14:ligatures w14:val="standardContextual"/>
        </w:rPr>
      </w:pPr>
      <w:r w:rsidRPr="0029174C">
        <w:rPr>
          <w:rFonts w:eastAsia="Calibri" w:cs="Arial"/>
          <w:b/>
          <w:bCs/>
          <w:i/>
          <w:iCs/>
          <w:kern w:val="2"/>
          <w:sz w:val="24"/>
          <w:szCs w:val="24"/>
          <w14:ligatures w14:val="standardContextual"/>
        </w:rPr>
        <w:t xml:space="preserve">“The Third Sector’s own trading activity has been affected by the pandemic.  </w:t>
      </w:r>
      <w:r w:rsidR="00F2348B">
        <w:rPr>
          <w:rFonts w:eastAsia="Calibri" w:cs="Arial"/>
          <w:b/>
          <w:bCs/>
          <w:i/>
          <w:iCs/>
          <w:kern w:val="2"/>
          <w:sz w:val="24"/>
          <w:szCs w:val="24"/>
          <w14:ligatures w14:val="standardContextual"/>
        </w:rPr>
        <w:t>M</w:t>
      </w:r>
      <w:r w:rsidRPr="0029174C">
        <w:rPr>
          <w:rFonts w:eastAsia="Calibri" w:cs="Arial"/>
          <w:b/>
          <w:bCs/>
          <w:i/>
          <w:iCs/>
          <w:kern w:val="2"/>
          <w:sz w:val="24"/>
          <w:szCs w:val="24"/>
          <w14:ligatures w14:val="standardContextual"/>
        </w:rPr>
        <w:t xml:space="preserve">any organisations stopped or reduced trading activity during the worst of the lockdowns. Like private businesses, they were not allowed to open for long periods. And, initially at least, when they reopened fewer customers came. </w:t>
      </w:r>
    </w:p>
    <w:p w14:paraId="37D4BCAA" w14:textId="74BD49DA" w:rsidR="0029174C" w:rsidRPr="0029174C" w:rsidRDefault="0029174C" w:rsidP="0029174C">
      <w:pPr>
        <w:rPr>
          <w:b/>
          <w:bCs/>
          <w:i/>
          <w:iCs/>
          <w:sz w:val="24"/>
          <w:szCs w:val="24"/>
        </w:rPr>
      </w:pPr>
      <w:r w:rsidRPr="0029174C">
        <w:rPr>
          <w:rFonts w:eastAsia="Calibri" w:cs="Arial"/>
          <w:b/>
          <w:bCs/>
          <w:i/>
          <w:iCs/>
          <w:kern w:val="2"/>
          <w:sz w:val="24"/>
          <w:szCs w:val="24"/>
          <w14:ligatures w14:val="standardContextual"/>
        </w:rPr>
        <w:t xml:space="preserve">While Covid-19 may have accelerated change, the pandemic’s effect should not be over-stated </w:t>
      </w:r>
      <w:r w:rsidR="00F2348B">
        <w:rPr>
          <w:rFonts w:eastAsia="Calibri" w:cs="Arial"/>
          <w:b/>
          <w:bCs/>
          <w:i/>
          <w:iCs/>
          <w:kern w:val="2"/>
          <w:sz w:val="24"/>
          <w:szCs w:val="24"/>
          <w14:ligatures w14:val="standardContextual"/>
        </w:rPr>
        <w:t>n</w:t>
      </w:r>
      <w:r w:rsidRPr="0029174C">
        <w:rPr>
          <w:rFonts w:eastAsia="Calibri" w:cs="Arial"/>
          <w:b/>
          <w:bCs/>
          <w:i/>
          <w:iCs/>
          <w:kern w:val="2"/>
          <w:sz w:val="24"/>
          <w:szCs w:val="24"/>
          <w14:ligatures w14:val="standardContextual"/>
        </w:rPr>
        <w:t>or its impact exaggerated. The proportion of organisations earning income has not increased over the years. In fact it has fallen very slightly and fewer organisations rely very heavily on trading now than in the past. More recently established organisations are less interest in trading than their older counterparts.”</w:t>
      </w:r>
    </w:p>
    <w:p w14:paraId="77569301" w14:textId="77777777" w:rsidR="0029174C" w:rsidRPr="0029174C" w:rsidRDefault="0029174C" w:rsidP="0029174C">
      <w:pPr>
        <w:rPr>
          <w:sz w:val="24"/>
          <w:szCs w:val="24"/>
        </w:rPr>
      </w:pPr>
    </w:p>
    <w:p w14:paraId="4F5297FB" w14:textId="77777777" w:rsidR="0029174C" w:rsidRPr="0029174C" w:rsidRDefault="0029174C" w:rsidP="0029174C">
      <w:pPr>
        <w:rPr>
          <w:rFonts w:eastAsia="Calibri" w:cs="Arial"/>
          <w:b/>
          <w:bCs/>
          <w:i/>
          <w:iCs/>
          <w:kern w:val="2"/>
          <w:sz w:val="24"/>
          <w:szCs w:val="24"/>
          <w14:ligatures w14:val="standardContextual"/>
        </w:rPr>
      </w:pPr>
      <w:r w:rsidRPr="0029174C">
        <w:rPr>
          <w:rFonts w:eastAsia="Calibri" w:cs="Arial"/>
          <w:b/>
          <w:bCs/>
          <w:i/>
          <w:iCs/>
          <w:kern w:val="2"/>
          <w:sz w:val="24"/>
          <w:szCs w:val="24"/>
          <w14:ligatures w14:val="standardContextual"/>
        </w:rPr>
        <w:t>Optimism about future finances</w:t>
      </w:r>
    </w:p>
    <w:p w14:paraId="2E9D5386" w14:textId="568C0BFE" w:rsidR="0029174C" w:rsidRPr="0029174C" w:rsidRDefault="0029174C" w:rsidP="0029174C">
      <w:pPr>
        <w:spacing w:line="360" w:lineRule="auto"/>
        <w:rPr>
          <w:rFonts w:eastAsia="Calibri" w:cs="Arial"/>
          <w:kern w:val="2"/>
          <w:sz w:val="24"/>
          <w:szCs w:val="24"/>
          <w14:ligatures w14:val="standardContextual"/>
        </w:rPr>
      </w:pPr>
      <w:r w:rsidRPr="0029174C">
        <w:rPr>
          <w:rFonts w:eastAsia="Calibri" w:cs="Arial"/>
          <w:kern w:val="2"/>
          <w:sz w:val="24"/>
          <w:szCs w:val="24"/>
          <w14:ligatures w14:val="standardContextual"/>
        </w:rPr>
        <w:t xml:space="preserve">In spite </w:t>
      </w:r>
      <w:r w:rsidR="00F2348B">
        <w:rPr>
          <w:rFonts w:eastAsia="Calibri" w:cs="Arial"/>
          <w:kern w:val="2"/>
          <w:sz w:val="24"/>
          <w:szCs w:val="24"/>
          <w14:ligatures w14:val="standardContextual"/>
        </w:rPr>
        <w:t xml:space="preserve">of </w:t>
      </w:r>
      <w:r w:rsidRPr="0029174C">
        <w:rPr>
          <w:rFonts w:eastAsia="Calibri" w:cs="Arial"/>
          <w:kern w:val="2"/>
          <w:sz w:val="24"/>
          <w:szCs w:val="24"/>
          <w14:ligatures w14:val="standardContextual"/>
        </w:rPr>
        <w:t>current difficulties with rising costs of energy and wages, optimism about finances has remained remarkably high.</w:t>
      </w:r>
    </w:p>
    <w:p w14:paraId="6499FF43" w14:textId="77777777" w:rsidR="0029174C" w:rsidRPr="0029174C" w:rsidRDefault="0029174C" w:rsidP="0029174C">
      <w:pPr>
        <w:pStyle w:val="ListParagraph"/>
        <w:numPr>
          <w:ilvl w:val="0"/>
          <w:numId w:val="13"/>
        </w:numPr>
        <w:ind w:left="714" w:hanging="357"/>
        <w:contextualSpacing w:val="0"/>
        <w:rPr>
          <w:rFonts w:eastAsia="Calibri" w:cs="Arial"/>
          <w:kern w:val="2"/>
          <w:sz w:val="24"/>
          <w:szCs w:val="24"/>
          <w14:ligatures w14:val="standardContextual"/>
        </w:rPr>
      </w:pPr>
      <w:r w:rsidRPr="0029174C">
        <w:rPr>
          <w:rFonts w:eastAsia="Calibri" w:cs="Arial"/>
          <w:kern w:val="2"/>
          <w:sz w:val="24"/>
          <w:szCs w:val="24"/>
          <w14:ligatures w14:val="standardContextual"/>
        </w:rPr>
        <w:t xml:space="preserve">33 per cent of organisations expect that their income will rise over the next two years and 46 per cent think it will stay about the same. </w:t>
      </w:r>
    </w:p>
    <w:p w14:paraId="02E2A767" w14:textId="77777777" w:rsidR="0029174C" w:rsidRPr="0029174C" w:rsidRDefault="0029174C" w:rsidP="0029174C">
      <w:pPr>
        <w:pStyle w:val="ListParagraph"/>
        <w:numPr>
          <w:ilvl w:val="0"/>
          <w:numId w:val="13"/>
        </w:numPr>
        <w:ind w:left="714" w:hanging="357"/>
        <w:contextualSpacing w:val="0"/>
        <w:rPr>
          <w:rFonts w:eastAsia="Calibri" w:cs="Arial"/>
          <w:kern w:val="2"/>
          <w:sz w:val="24"/>
          <w:szCs w:val="24"/>
          <w14:ligatures w14:val="standardContextual"/>
        </w:rPr>
      </w:pPr>
      <w:r w:rsidRPr="0029174C">
        <w:rPr>
          <w:rFonts w:eastAsia="Calibri" w:cs="Arial"/>
          <w:kern w:val="2"/>
          <w:sz w:val="24"/>
          <w:szCs w:val="24"/>
          <w14:ligatures w14:val="standardContextual"/>
        </w:rPr>
        <w:t xml:space="preserve">Only 21 per cent of TSOs think income will fall (and fewer that 5% feel that income will fall substantially). </w:t>
      </w:r>
    </w:p>
    <w:p w14:paraId="4C3CC9C6" w14:textId="339D64FA" w:rsidR="0029174C" w:rsidRPr="0029174C" w:rsidRDefault="0029174C" w:rsidP="0029174C">
      <w:pPr>
        <w:spacing w:line="360" w:lineRule="auto"/>
        <w:rPr>
          <w:rFonts w:eastAsia="Calibri" w:cs="Arial"/>
          <w:kern w:val="2"/>
          <w:sz w:val="24"/>
          <w:szCs w:val="24"/>
          <w14:ligatures w14:val="standardContextual"/>
        </w:rPr>
      </w:pPr>
      <w:r w:rsidRPr="0029174C">
        <w:rPr>
          <w:rFonts w:eastAsia="Calibri" w:cs="Arial"/>
          <w:kern w:val="2"/>
          <w:sz w:val="24"/>
          <w:szCs w:val="24"/>
          <w14:ligatures w14:val="standardContextual"/>
        </w:rPr>
        <w:t xml:space="preserve">But as </w:t>
      </w:r>
      <w:r w:rsidR="007C16C9">
        <w:rPr>
          <w:rFonts w:eastAsia="Calibri" w:cs="Arial"/>
          <w:kern w:val="2"/>
          <w:sz w:val="24"/>
          <w:szCs w:val="24"/>
          <w14:ligatures w14:val="standardContextual"/>
        </w:rPr>
        <w:t xml:space="preserve">all </w:t>
      </w:r>
      <w:r w:rsidRPr="0029174C">
        <w:rPr>
          <w:rFonts w:eastAsia="Calibri" w:cs="Arial"/>
          <w:kern w:val="2"/>
          <w:sz w:val="24"/>
          <w:szCs w:val="24"/>
          <w14:ligatures w14:val="standardContextual"/>
        </w:rPr>
        <w:t xml:space="preserve">previous rounds of Third Sector Trends surveys </w:t>
      </w:r>
      <w:r w:rsidR="007C16C9">
        <w:rPr>
          <w:rFonts w:eastAsia="Calibri" w:cs="Arial"/>
          <w:kern w:val="2"/>
          <w:sz w:val="24"/>
          <w:szCs w:val="24"/>
          <w14:ligatures w14:val="standardContextual"/>
        </w:rPr>
        <w:t xml:space="preserve">have </w:t>
      </w:r>
      <w:r w:rsidRPr="0029174C">
        <w:rPr>
          <w:rFonts w:eastAsia="Calibri" w:cs="Arial"/>
          <w:kern w:val="2"/>
          <w:sz w:val="24"/>
          <w:szCs w:val="24"/>
          <w14:ligatures w14:val="standardContextual"/>
        </w:rPr>
        <w:t>show</w:t>
      </w:r>
      <w:r w:rsidR="007C16C9">
        <w:rPr>
          <w:rFonts w:eastAsia="Calibri" w:cs="Arial"/>
          <w:kern w:val="2"/>
          <w:sz w:val="24"/>
          <w:szCs w:val="24"/>
          <w14:ligatures w14:val="standardContextual"/>
        </w:rPr>
        <w:t>n</w:t>
      </w:r>
      <w:r w:rsidRPr="0029174C">
        <w:rPr>
          <w:rFonts w:eastAsia="Calibri" w:cs="Arial"/>
          <w:kern w:val="2"/>
          <w:sz w:val="24"/>
          <w:szCs w:val="24"/>
          <w14:ligatures w14:val="standardContextual"/>
        </w:rPr>
        <w:t>, organisations of all sizes tend to be somewhat ‘over optimistic’ in their projections about future finances.</w:t>
      </w:r>
    </w:p>
    <w:p w14:paraId="531582FA" w14:textId="77777777" w:rsidR="0029174C" w:rsidRPr="0029174C" w:rsidRDefault="0029174C" w:rsidP="0029174C">
      <w:pPr>
        <w:pStyle w:val="ListParagraph"/>
        <w:numPr>
          <w:ilvl w:val="0"/>
          <w:numId w:val="14"/>
        </w:numPr>
        <w:ind w:left="783" w:hanging="357"/>
        <w:contextualSpacing w:val="0"/>
        <w:rPr>
          <w:rFonts w:eastAsia="Calibri" w:cs="Arial"/>
          <w:kern w:val="2"/>
          <w:sz w:val="24"/>
          <w:szCs w:val="24"/>
          <w14:ligatures w14:val="standardContextual"/>
        </w:rPr>
      </w:pPr>
      <w:r w:rsidRPr="0029174C">
        <w:rPr>
          <w:rFonts w:eastAsia="Calibri" w:cs="Arial"/>
          <w:kern w:val="2"/>
          <w:sz w:val="24"/>
          <w:szCs w:val="24"/>
          <w14:ligatures w14:val="standardContextual"/>
        </w:rPr>
        <w:t>In a period of government austerity in 2010, 24% of organisations thought their income would rise, but this only turned out to be 11% of organisations in 2013.</w:t>
      </w:r>
    </w:p>
    <w:p w14:paraId="7B4E9DB0" w14:textId="77777777" w:rsidR="0029174C" w:rsidRPr="0029174C" w:rsidRDefault="0029174C" w:rsidP="0029174C">
      <w:pPr>
        <w:pStyle w:val="ListParagraph"/>
        <w:numPr>
          <w:ilvl w:val="0"/>
          <w:numId w:val="14"/>
        </w:numPr>
        <w:ind w:left="783" w:hanging="357"/>
        <w:contextualSpacing w:val="0"/>
        <w:rPr>
          <w:rFonts w:eastAsia="Calibri" w:cs="Arial"/>
          <w:kern w:val="2"/>
          <w:sz w:val="24"/>
          <w:szCs w:val="24"/>
          <w14:ligatures w14:val="standardContextual"/>
        </w:rPr>
      </w:pPr>
      <w:r w:rsidRPr="0029174C">
        <w:rPr>
          <w:rFonts w:eastAsia="Calibri" w:cs="Arial"/>
          <w:kern w:val="2"/>
          <w:sz w:val="24"/>
          <w:szCs w:val="24"/>
          <w14:ligatures w14:val="standardContextual"/>
        </w:rPr>
        <w:t>In 2016, 36% of organisations thought their income would rise in future, but by 2019 only 18% reported that this had happened.</w:t>
      </w:r>
    </w:p>
    <w:p w14:paraId="12046639" w14:textId="5CDDBAA9" w:rsidR="0029174C" w:rsidRDefault="0029174C" w:rsidP="0029174C">
      <w:pPr>
        <w:pStyle w:val="ListParagraph"/>
        <w:numPr>
          <w:ilvl w:val="0"/>
          <w:numId w:val="14"/>
        </w:numPr>
        <w:ind w:left="783" w:hanging="357"/>
        <w:contextualSpacing w:val="0"/>
        <w:rPr>
          <w:rFonts w:eastAsia="Calibri" w:cs="Arial"/>
          <w:kern w:val="2"/>
          <w:sz w:val="24"/>
          <w:szCs w:val="24"/>
          <w14:ligatures w14:val="standardContextual"/>
        </w:rPr>
      </w:pPr>
      <w:r w:rsidRPr="0029174C">
        <w:rPr>
          <w:rFonts w:eastAsia="Calibri" w:cs="Arial"/>
          <w:kern w:val="2"/>
          <w:sz w:val="24"/>
          <w:szCs w:val="24"/>
          <w14:ligatures w14:val="standardContextual"/>
        </w:rPr>
        <w:t xml:space="preserve">In 2019, 32% of organisations expected their income would rise. During the pandemic in 2020, optimism collapsed to just 13%. But by 2022, 18% reported that </w:t>
      </w:r>
      <w:r w:rsidRPr="0029174C">
        <w:rPr>
          <w:rFonts w:eastAsia="Calibri" w:cs="Arial"/>
          <w:kern w:val="2"/>
          <w:sz w:val="24"/>
          <w:szCs w:val="24"/>
          <w14:ligatures w14:val="standardContextual"/>
        </w:rPr>
        <w:lastRenderedPageBreak/>
        <w:t>income had risen – the highest level since Third Sector Trends surveys began in 2010.</w:t>
      </w:r>
    </w:p>
    <w:p w14:paraId="414ED770" w14:textId="016089EA" w:rsidR="006A447B" w:rsidRPr="0029174C" w:rsidRDefault="006A447B" w:rsidP="0029174C">
      <w:pPr>
        <w:pStyle w:val="ListParagraph"/>
        <w:numPr>
          <w:ilvl w:val="0"/>
          <w:numId w:val="14"/>
        </w:numPr>
        <w:ind w:left="783" w:hanging="357"/>
        <w:contextualSpacing w:val="0"/>
        <w:rPr>
          <w:rFonts w:eastAsia="Calibri" w:cs="Arial"/>
          <w:kern w:val="2"/>
          <w:sz w:val="24"/>
          <w:szCs w:val="24"/>
          <w14:ligatures w14:val="standardContextual"/>
        </w:rPr>
      </w:pPr>
      <w:r>
        <w:rPr>
          <w:rFonts w:eastAsia="Calibri" w:cs="Arial"/>
          <w:kern w:val="2"/>
          <w:sz w:val="24"/>
          <w:szCs w:val="24"/>
          <w14:ligatures w14:val="standardContextual"/>
        </w:rPr>
        <w:t xml:space="preserve">When surveyed in 2022, 33% of organisations thought that their income would rise over the next two years. </w:t>
      </w:r>
      <w:r w:rsidR="007C16C9">
        <w:rPr>
          <w:rFonts w:eastAsia="Calibri" w:cs="Arial"/>
          <w:kern w:val="2"/>
          <w:sz w:val="24"/>
          <w:szCs w:val="24"/>
          <w14:ligatures w14:val="standardContextual"/>
        </w:rPr>
        <w:t>It is too hard to predict what the actual percentage will be.</w:t>
      </w:r>
    </w:p>
    <w:p w14:paraId="48D025E1" w14:textId="77777777" w:rsidR="000611F0" w:rsidRDefault="000611F0" w:rsidP="0029174C">
      <w:pPr>
        <w:rPr>
          <w:rFonts w:eastAsia="Calibri" w:cs="Arial"/>
          <w:kern w:val="2"/>
          <w:sz w:val="24"/>
          <w:szCs w:val="24"/>
          <w14:ligatures w14:val="standardContextual"/>
        </w:rPr>
      </w:pPr>
    </w:p>
    <w:p w14:paraId="572F0F7A" w14:textId="77777777" w:rsidR="000611F0" w:rsidRDefault="000611F0" w:rsidP="0029174C">
      <w:pPr>
        <w:rPr>
          <w:rFonts w:eastAsia="Calibri" w:cs="Arial"/>
          <w:kern w:val="2"/>
          <w:sz w:val="24"/>
          <w:szCs w:val="24"/>
          <w14:ligatures w14:val="standardContextual"/>
        </w:rPr>
      </w:pPr>
    </w:p>
    <w:p w14:paraId="4DD240CB" w14:textId="40F126D4" w:rsidR="0029174C" w:rsidRDefault="000611F0" w:rsidP="0029174C">
      <w:pPr>
        <w:rPr>
          <w:rFonts w:eastAsia="Calibri" w:cs="Arial"/>
          <w:kern w:val="2"/>
          <w:sz w:val="24"/>
          <w:szCs w:val="24"/>
          <w14:ligatures w14:val="standardContextual"/>
        </w:rPr>
      </w:pPr>
      <w:r>
        <w:rPr>
          <w:rFonts w:eastAsia="Calibri" w:cs="Arial"/>
          <w:kern w:val="2"/>
          <w:sz w:val="24"/>
          <w:szCs w:val="24"/>
          <w14:ligatures w14:val="standardContextual"/>
        </w:rPr>
        <w:t>As Rob Williamson, Chief Executive of the Community Foundation Tyne &amp; Wear and Northumberland, said</w:t>
      </w:r>
    </w:p>
    <w:p w14:paraId="5F361459" w14:textId="0B267A04" w:rsidR="000611F0" w:rsidRDefault="000611F0" w:rsidP="0029174C">
      <w:pPr>
        <w:rPr>
          <w:rFonts w:cs="Arial"/>
          <w:b/>
          <w:bCs/>
          <w:i/>
          <w:iCs/>
          <w:color w:val="242424"/>
          <w:shd w:val="clear" w:color="auto" w:fill="FFFFFF"/>
        </w:rPr>
      </w:pPr>
      <w:r w:rsidRPr="000611F0">
        <w:rPr>
          <w:rFonts w:cs="Arial"/>
          <w:b/>
          <w:bCs/>
          <w:i/>
          <w:iCs/>
          <w:color w:val="242424"/>
          <w:shd w:val="clear" w:color="auto" w:fill="FFFFFF"/>
        </w:rPr>
        <w:t xml:space="preserve">“This report shows that the push since 2010 for the future income of the third sector to be based on trading, contracting, social finance and digital fundraising have amounted to very little. We still see the </w:t>
      </w:r>
      <w:proofErr w:type="gramStart"/>
      <w:r w:rsidRPr="000611F0">
        <w:rPr>
          <w:rFonts w:cs="Arial"/>
          <w:b/>
          <w:bCs/>
          <w:i/>
          <w:iCs/>
          <w:color w:val="242424"/>
          <w:shd w:val="clear" w:color="auto" w:fill="FFFFFF"/>
        </w:rPr>
        <w:t>continued  importance</w:t>
      </w:r>
      <w:proofErr w:type="gramEnd"/>
      <w:r w:rsidRPr="000611F0">
        <w:rPr>
          <w:rFonts w:cs="Arial"/>
          <w:b/>
          <w:bCs/>
          <w:i/>
          <w:iCs/>
          <w:color w:val="242424"/>
          <w:shd w:val="clear" w:color="auto" w:fill="FFFFFF"/>
        </w:rPr>
        <w:t xml:space="preserve"> of grant funding, indeed the model of social finance has evolved into a blended model relying on a mix of grant funding and social finance</w:t>
      </w:r>
      <w:r>
        <w:rPr>
          <w:rFonts w:cs="Arial"/>
          <w:b/>
          <w:bCs/>
          <w:i/>
          <w:iCs/>
          <w:color w:val="242424"/>
          <w:shd w:val="clear" w:color="auto" w:fill="FFFFFF"/>
        </w:rPr>
        <w:t>…</w:t>
      </w:r>
      <w:r w:rsidRPr="000611F0">
        <w:rPr>
          <w:rFonts w:cs="Arial"/>
          <w:b/>
          <w:bCs/>
          <w:i/>
          <w:iCs/>
          <w:color w:val="242424"/>
          <w:shd w:val="clear" w:color="auto" w:fill="FFFFFF"/>
        </w:rPr>
        <w:t xml:space="preserve"> </w:t>
      </w:r>
    </w:p>
    <w:p w14:paraId="2BFA14CB" w14:textId="2FF810DD" w:rsidR="000611F0" w:rsidRPr="000611F0" w:rsidRDefault="000611F0" w:rsidP="0029174C">
      <w:pPr>
        <w:rPr>
          <w:rFonts w:eastAsia="Calibri" w:cs="Arial"/>
          <w:b/>
          <w:bCs/>
          <w:kern w:val="2"/>
          <w:sz w:val="24"/>
          <w:szCs w:val="24"/>
          <w14:ligatures w14:val="standardContextual"/>
        </w:rPr>
      </w:pPr>
      <w:r>
        <w:rPr>
          <w:rFonts w:cs="Arial"/>
          <w:b/>
          <w:bCs/>
          <w:i/>
          <w:iCs/>
          <w:color w:val="242424"/>
          <w:shd w:val="clear" w:color="auto" w:fill="FFFFFF"/>
        </w:rPr>
        <w:t>“</w:t>
      </w:r>
      <w:r w:rsidRPr="000611F0">
        <w:rPr>
          <w:rFonts w:cs="Arial"/>
          <w:b/>
          <w:bCs/>
          <w:i/>
          <w:iCs/>
          <w:color w:val="242424"/>
          <w:shd w:val="clear" w:color="auto" w:fill="FFFFFF"/>
        </w:rPr>
        <w:t>The pandemic sped up the modernisation of grant funding through trust-based, less restrictive models increasingly focussed on core funding which is a good thing. As funders we need to continue to work and flex alongside the sector to ensure the best outcomes for our communities.”  </w:t>
      </w:r>
    </w:p>
    <w:p w14:paraId="79933888" w14:textId="77777777" w:rsidR="000611F0" w:rsidRPr="0029174C" w:rsidRDefault="000611F0" w:rsidP="0029174C">
      <w:pPr>
        <w:rPr>
          <w:rFonts w:eastAsia="Calibri" w:cs="Arial"/>
          <w:kern w:val="2"/>
          <w:sz w:val="24"/>
          <w:szCs w:val="24"/>
          <w14:ligatures w14:val="standardContextual"/>
        </w:rPr>
      </w:pPr>
    </w:p>
    <w:p w14:paraId="160C8C68" w14:textId="22040957" w:rsidR="0029174C" w:rsidRPr="0029174C" w:rsidRDefault="0029174C" w:rsidP="0029174C">
      <w:pPr>
        <w:rPr>
          <w:rFonts w:eastAsia="Calibri" w:cs="Arial"/>
          <w:kern w:val="2"/>
          <w:sz w:val="24"/>
          <w:szCs w:val="24"/>
          <w14:ligatures w14:val="standardContextual"/>
        </w:rPr>
      </w:pPr>
      <w:r w:rsidRPr="0029174C">
        <w:rPr>
          <w:rFonts w:eastAsia="Calibri" w:cs="Arial"/>
          <w:kern w:val="2"/>
          <w:sz w:val="24"/>
          <w:szCs w:val="24"/>
          <w14:ligatures w14:val="standardContextual"/>
        </w:rPr>
        <w:t xml:space="preserve">As the report </w:t>
      </w:r>
      <w:r w:rsidR="000611F0">
        <w:rPr>
          <w:rFonts w:eastAsia="Calibri" w:cs="Arial"/>
          <w:kern w:val="2"/>
          <w:sz w:val="24"/>
          <w:szCs w:val="24"/>
          <w14:ligatures w14:val="standardContextual"/>
        </w:rPr>
        <w:t xml:space="preserve">author, Professor Tony Chapman, </w:t>
      </w:r>
      <w:r w:rsidRPr="0029174C">
        <w:rPr>
          <w:rFonts w:eastAsia="Calibri" w:cs="Arial"/>
          <w:kern w:val="2"/>
          <w:sz w:val="24"/>
          <w:szCs w:val="24"/>
          <w14:ligatures w14:val="standardContextual"/>
        </w:rPr>
        <w:t>concludes:</w:t>
      </w:r>
    </w:p>
    <w:p w14:paraId="7A733164" w14:textId="7FF3B64C" w:rsidR="0029174C" w:rsidRPr="0029174C" w:rsidRDefault="0029174C" w:rsidP="0029174C">
      <w:pPr>
        <w:rPr>
          <w:rFonts w:eastAsia="Calibri" w:cs="Arial"/>
          <w:b/>
          <w:bCs/>
          <w:i/>
          <w:iCs/>
          <w:kern w:val="2"/>
          <w:sz w:val="24"/>
          <w:szCs w:val="24"/>
          <w14:ligatures w14:val="standardContextual"/>
        </w:rPr>
      </w:pPr>
      <w:r w:rsidRPr="0029174C">
        <w:rPr>
          <w:rFonts w:eastAsia="Calibri" w:cs="Arial"/>
          <w:b/>
          <w:bCs/>
          <w:i/>
          <w:iCs/>
          <w:kern w:val="2"/>
          <w:sz w:val="24"/>
          <w:szCs w:val="24"/>
          <w14:ligatures w14:val="standardContextual"/>
        </w:rPr>
        <w:t>“Sector over-optimism is not a bad thing because it drives enthusiasm and commitment. But when hopes are dashed, it can make people in the sector feel disappointed</w:t>
      </w:r>
      <w:r w:rsidR="000611F0">
        <w:rPr>
          <w:rFonts w:eastAsia="Calibri" w:cs="Arial"/>
          <w:b/>
          <w:bCs/>
          <w:i/>
          <w:iCs/>
          <w:kern w:val="2"/>
          <w:sz w:val="24"/>
          <w:szCs w:val="24"/>
          <w14:ligatures w14:val="standardContextual"/>
        </w:rPr>
        <w:t>…</w:t>
      </w:r>
    </w:p>
    <w:p w14:paraId="303AD1B3" w14:textId="165B7B6C" w:rsidR="0029174C" w:rsidRPr="0029174C" w:rsidRDefault="0029174C" w:rsidP="0029174C">
      <w:pPr>
        <w:rPr>
          <w:rFonts w:eastAsia="Calibri" w:cs="Arial"/>
          <w:b/>
          <w:bCs/>
          <w:i/>
          <w:iCs/>
          <w:kern w:val="2"/>
          <w:sz w:val="24"/>
          <w:szCs w:val="24"/>
          <w14:ligatures w14:val="standardContextual"/>
        </w:rPr>
      </w:pPr>
      <w:r w:rsidRPr="0029174C">
        <w:rPr>
          <w:rFonts w:eastAsia="Calibri" w:cs="Arial"/>
          <w:b/>
          <w:bCs/>
          <w:i/>
          <w:iCs/>
          <w:kern w:val="2"/>
          <w:sz w:val="24"/>
          <w:szCs w:val="24"/>
          <w14:ligatures w14:val="standardContextual"/>
        </w:rPr>
        <w:t>“Economic conditions are precarious. But this is neither a ‘perfect storm’ nor an ‘existential crisis’. The Third sector is more robust than many commentators think. But there will be a mix of winners and losers as social market conditions change</w:t>
      </w:r>
      <w:r w:rsidR="000611F0">
        <w:rPr>
          <w:rFonts w:eastAsia="Calibri" w:cs="Arial"/>
          <w:b/>
          <w:bCs/>
          <w:i/>
          <w:iCs/>
          <w:kern w:val="2"/>
          <w:sz w:val="24"/>
          <w:szCs w:val="24"/>
          <w14:ligatures w14:val="standardContextual"/>
        </w:rPr>
        <w:t>…</w:t>
      </w:r>
    </w:p>
    <w:p w14:paraId="5B8B89FB" w14:textId="4166B91A" w:rsidR="0029174C" w:rsidRPr="0029174C" w:rsidRDefault="0029174C" w:rsidP="0029174C">
      <w:pPr>
        <w:rPr>
          <w:rFonts w:eastAsia="Calibri" w:cs="Arial"/>
          <w:b/>
          <w:bCs/>
          <w:i/>
          <w:iCs/>
          <w:kern w:val="2"/>
          <w:sz w:val="24"/>
          <w:szCs w:val="24"/>
          <w14:ligatures w14:val="standardContextual"/>
        </w:rPr>
      </w:pPr>
      <w:r w:rsidRPr="0029174C">
        <w:rPr>
          <w:rFonts w:eastAsia="Calibri" w:cs="Arial"/>
          <w:b/>
          <w:bCs/>
          <w:i/>
          <w:iCs/>
          <w:kern w:val="2"/>
          <w:sz w:val="24"/>
          <w:szCs w:val="24"/>
          <w14:ligatures w14:val="standardContextual"/>
        </w:rPr>
        <w:t xml:space="preserve">“When thinking about sustainability, it should be remembered that Third Sector organisations tend to be financially prudent.  More organisations hold reserves in 2019 and that they are </w:t>
      </w:r>
      <w:r w:rsidR="007C16C9">
        <w:rPr>
          <w:rFonts w:eastAsia="Calibri" w:cs="Arial"/>
          <w:b/>
          <w:bCs/>
          <w:i/>
          <w:iCs/>
          <w:kern w:val="2"/>
          <w:sz w:val="24"/>
          <w:szCs w:val="24"/>
          <w14:ligatures w14:val="standardContextual"/>
        </w:rPr>
        <w:t>‘</w:t>
      </w:r>
      <w:r w:rsidRPr="0029174C">
        <w:rPr>
          <w:rFonts w:eastAsia="Calibri" w:cs="Arial"/>
          <w:b/>
          <w:bCs/>
          <w:i/>
          <w:iCs/>
          <w:kern w:val="2"/>
          <w:sz w:val="24"/>
          <w:szCs w:val="24"/>
          <w14:ligatures w14:val="standardContextual"/>
        </w:rPr>
        <w:t>holding on tight</w:t>
      </w:r>
      <w:r w:rsidR="007C16C9">
        <w:rPr>
          <w:rFonts w:eastAsia="Calibri" w:cs="Arial"/>
          <w:b/>
          <w:bCs/>
          <w:i/>
          <w:iCs/>
          <w:kern w:val="2"/>
          <w:sz w:val="24"/>
          <w:szCs w:val="24"/>
          <w14:ligatures w14:val="standardContextual"/>
        </w:rPr>
        <w:t>’</w:t>
      </w:r>
      <w:r w:rsidRPr="0029174C">
        <w:rPr>
          <w:rFonts w:eastAsia="Calibri" w:cs="Arial"/>
          <w:b/>
          <w:bCs/>
          <w:i/>
          <w:iCs/>
          <w:kern w:val="2"/>
          <w:sz w:val="24"/>
          <w:szCs w:val="24"/>
          <w14:ligatures w14:val="standardContextual"/>
        </w:rPr>
        <w:t xml:space="preserve"> to them rather than investing in new things. And unlike private businesses, very few organisations borrow money which reduces the risk of foreclosure</w:t>
      </w:r>
      <w:r w:rsidR="000611F0">
        <w:rPr>
          <w:rFonts w:eastAsia="Calibri" w:cs="Arial"/>
          <w:b/>
          <w:bCs/>
          <w:i/>
          <w:iCs/>
          <w:kern w:val="2"/>
          <w:sz w:val="24"/>
          <w:szCs w:val="24"/>
          <w14:ligatures w14:val="standardContextual"/>
        </w:rPr>
        <w:t>…</w:t>
      </w:r>
    </w:p>
    <w:p w14:paraId="7C897B2B" w14:textId="1CD7FCC1" w:rsidR="007C16C9" w:rsidRDefault="0029174C" w:rsidP="000611F0">
      <w:pPr>
        <w:rPr>
          <w:rFonts w:eastAsia="Calibri" w:cs="Arial"/>
          <w:b/>
          <w:bCs/>
          <w:i/>
          <w:iCs/>
          <w:kern w:val="2"/>
          <w:sz w:val="24"/>
          <w:szCs w:val="24"/>
          <w14:ligatures w14:val="standardContextual"/>
        </w:rPr>
      </w:pPr>
      <w:r w:rsidRPr="0029174C">
        <w:rPr>
          <w:rFonts w:eastAsia="Calibri" w:cs="Arial"/>
          <w:b/>
          <w:bCs/>
          <w:i/>
          <w:iCs/>
          <w:kern w:val="2"/>
          <w:sz w:val="24"/>
          <w:szCs w:val="24"/>
          <w14:ligatures w14:val="standardContextual"/>
        </w:rPr>
        <w:t>“Crucially, organisations have learned over the years how to flex their operations to manage upturns and downturns in their finances because they are so accustomed to high levels of turbulence in their finances. Inevitably, some organisations will have to make redundancies and reduce the level of services they offer</w:t>
      </w:r>
      <w:r w:rsidR="007C16C9">
        <w:rPr>
          <w:rFonts w:eastAsia="Calibri" w:cs="Arial"/>
          <w:b/>
          <w:bCs/>
          <w:i/>
          <w:iCs/>
          <w:kern w:val="2"/>
          <w:sz w:val="24"/>
          <w:szCs w:val="24"/>
          <w14:ligatures w14:val="standardContextual"/>
        </w:rPr>
        <w:t>…</w:t>
      </w:r>
    </w:p>
    <w:p w14:paraId="133946BE" w14:textId="028B2DFF" w:rsidR="0029174C" w:rsidRPr="0029174C" w:rsidRDefault="007C16C9" w:rsidP="000611F0">
      <w:pPr>
        <w:rPr>
          <w:rFonts w:eastAsia="Calibri" w:cs="Arial"/>
          <w:b/>
          <w:bCs/>
          <w:i/>
          <w:iCs/>
          <w:kern w:val="2"/>
          <w:sz w:val="24"/>
          <w:szCs w:val="24"/>
          <w14:ligatures w14:val="standardContextual"/>
        </w:rPr>
      </w:pPr>
      <w:r>
        <w:rPr>
          <w:rFonts w:eastAsia="Calibri" w:cs="Arial"/>
          <w:b/>
          <w:bCs/>
          <w:i/>
          <w:iCs/>
          <w:kern w:val="2"/>
          <w:sz w:val="24"/>
          <w:szCs w:val="24"/>
          <w14:ligatures w14:val="standardContextual"/>
        </w:rPr>
        <w:t>“</w:t>
      </w:r>
      <w:r w:rsidR="0029174C" w:rsidRPr="0029174C">
        <w:rPr>
          <w:rFonts w:eastAsia="Calibri" w:cs="Arial"/>
          <w:b/>
          <w:bCs/>
          <w:i/>
          <w:iCs/>
          <w:kern w:val="2"/>
          <w:sz w:val="24"/>
          <w:szCs w:val="24"/>
          <w14:ligatures w14:val="standardContextual"/>
        </w:rPr>
        <w:t>So government, local public sector organisations, grant making trusts and foundations and Third Sector infrastructure agencies need to keep a close eye, as they generally do, on which kinds of organisations may be most a</w:t>
      </w:r>
      <w:r w:rsidR="0029174C" w:rsidRPr="007C16C9">
        <w:rPr>
          <w:rFonts w:eastAsia="Calibri" w:cs="Arial"/>
          <w:b/>
          <w:bCs/>
          <w:i/>
          <w:iCs/>
          <w:kern w:val="2"/>
          <w:sz w:val="24"/>
          <w:szCs w:val="24"/>
          <w14:ligatures w14:val="standardContextual"/>
        </w:rPr>
        <w:t>t risk.</w:t>
      </w:r>
      <w:r w:rsidRPr="007C16C9">
        <w:rPr>
          <w:rFonts w:eastAsia="Calibri" w:cs="Arial"/>
          <w:b/>
          <w:bCs/>
          <w:i/>
          <w:iCs/>
          <w:kern w:val="2"/>
          <w14:ligatures w14:val="standardContextual"/>
        </w:rPr>
        <w:t xml:space="preserve"> Otherwise, calls for blanket support for all organisations may water down </w:t>
      </w:r>
      <w:r>
        <w:rPr>
          <w:rFonts w:eastAsia="Calibri" w:cs="Arial"/>
          <w:b/>
          <w:bCs/>
          <w:i/>
          <w:iCs/>
          <w:kern w:val="2"/>
          <w14:ligatures w14:val="standardContextual"/>
        </w:rPr>
        <w:t xml:space="preserve">or misdirect </w:t>
      </w:r>
      <w:r w:rsidRPr="007C16C9">
        <w:rPr>
          <w:rFonts w:eastAsia="Calibri" w:cs="Arial"/>
          <w:b/>
          <w:bCs/>
          <w:i/>
          <w:iCs/>
          <w:kern w:val="2"/>
          <w14:ligatures w14:val="standardContextual"/>
        </w:rPr>
        <w:t xml:space="preserve">the value of such investment </w:t>
      </w:r>
      <w:r>
        <w:rPr>
          <w:rFonts w:eastAsia="Calibri" w:cs="Arial"/>
          <w:b/>
          <w:bCs/>
          <w:i/>
          <w:iCs/>
          <w:kern w:val="2"/>
          <w14:ligatures w14:val="standardContextual"/>
        </w:rPr>
        <w:t xml:space="preserve">from </w:t>
      </w:r>
      <w:r w:rsidRPr="007C16C9">
        <w:rPr>
          <w:rFonts w:eastAsia="Calibri" w:cs="Arial"/>
          <w:b/>
          <w:bCs/>
          <w:i/>
          <w:iCs/>
          <w:kern w:val="2"/>
          <w14:ligatures w14:val="standardContextual"/>
        </w:rPr>
        <w:t>where need is the greatest.</w:t>
      </w:r>
      <w:r w:rsidR="0029174C" w:rsidRPr="0029174C">
        <w:rPr>
          <w:rFonts w:eastAsia="Calibri" w:cs="Arial"/>
          <w:b/>
          <w:bCs/>
          <w:i/>
          <w:iCs/>
          <w:kern w:val="2"/>
          <w:sz w:val="24"/>
          <w:szCs w:val="24"/>
          <w14:ligatures w14:val="standardContextual"/>
        </w:rPr>
        <w:t>”</w:t>
      </w:r>
    </w:p>
    <w:p w14:paraId="316E2219" w14:textId="691EF5FE" w:rsidR="0029174C" w:rsidRDefault="0029174C" w:rsidP="004E68D7">
      <w:pPr>
        <w:spacing w:line="360" w:lineRule="auto"/>
        <w:rPr>
          <w:rFonts w:cs="Arial"/>
          <w:b/>
          <w:bCs/>
          <w:sz w:val="24"/>
          <w:szCs w:val="24"/>
        </w:rPr>
      </w:pPr>
    </w:p>
    <w:p w14:paraId="63CFF41A" w14:textId="77777777" w:rsidR="0029174C" w:rsidRDefault="0029174C" w:rsidP="004E68D7">
      <w:pPr>
        <w:spacing w:line="360" w:lineRule="auto"/>
        <w:rPr>
          <w:rFonts w:cs="Arial"/>
          <w:b/>
          <w:bCs/>
          <w:sz w:val="24"/>
          <w:szCs w:val="24"/>
        </w:rPr>
      </w:pPr>
    </w:p>
    <w:p w14:paraId="610A0E50" w14:textId="5DB666BB" w:rsidR="001A0D85" w:rsidRPr="001A0D85" w:rsidRDefault="001A0D85" w:rsidP="004E68D7">
      <w:pPr>
        <w:spacing w:line="360" w:lineRule="auto"/>
        <w:rPr>
          <w:rFonts w:cs="Arial"/>
          <w:b/>
          <w:bCs/>
          <w:sz w:val="24"/>
          <w:szCs w:val="24"/>
        </w:rPr>
      </w:pPr>
      <w:r w:rsidRPr="001A0D85">
        <w:rPr>
          <w:rFonts w:cs="Arial"/>
          <w:b/>
          <w:bCs/>
          <w:sz w:val="24"/>
          <w:szCs w:val="24"/>
        </w:rPr>
        <w:lastRenderedPageBreak/>
        <w:t>…ends</w:t>
      </w:r>
    </w:p>
    <w:p w14:paraId="016C1A53" w14:textId="3673A091" w:rsidR="0080630C" w:rsidRPr="0080630C" w:rsidRDefault="0080630C" w:rsidP="004E68D7">
      <w:pPr>
        <w:spacing w:after="160" w:line="360" w:lineRule="auto"/>
        <w:rPr>
          <w:rFonts w:cs="Arial"/>
          <w:b/>
          <w:bCs/>
          <w:sz w:val="36"/>
          <w:szCs w:val="36"/>
          <w:u w:val="single"/>
        </w:rPr>
      </w:pPr>
      <w:r w:rsidRPr="0080630C">
        <w:rPr>
          <w:rFonts w:cs="Arial"/>
          <w:b/>
          <w:bCs/>
          <w:sz w:val="36"/>
          <w:szCs w:val="36"/>
          <w:u w:val="single"/>
        </w:rPr>
        <w:t>NOTES TO EDITORS</w:t>
      </w:r>
    </w:p>
    <w:p w14:paraId="21A6C701" w14:textId="77777777" w:rsidR="001A0D85" w:rsidRDefault="0080630C" w:rsidP="001A0D85">
      <w:pPr>
        <w:rPr>
          <w:rFonts w:cs="Arial"/>
        </w:rPr>
      </w:pPr>
      <w:r w:rsidRPr="0080630C">
        <w:rPr>
          <w:rFonts w:cs="Arial"/>
        </w:rPr>
        <w:t>Third Sector Trends was established in 2008 and is the largest and longest running empirical study of the sector in the UK.</w:t>
      </w:r>
      <w:r w:rsidR="001A0D85">
        <w:rPr>
          <w:rFonts w:cs="Arial"/>
        </w:rPr>
        <w:t xml:space="preserve"> </w:t>
      </w:r>
    </w:p>
    <w:p w14:paraId="012C376F" w14:textId="51115997" w:rsidR="0080630C" w:rsidRPr="0080630C" w:rsidRDefault="0080630C" w:rsidP="001A0D85">
      <w:pPr>
        <w:rPr>
          <w:rFonts w:cs="Arial"/>
        </w:rPr>
      </w:pPr>
      <w:r w:rsidRPr="0080630C">
        <w:rPr>
          <w:rFonts w:cs="Arial"/>
        </w:rPr>
        <w:t xml:space="preserve">The analysis is underpinned by a dataset of 187,000 organisations drawn from the full range of registers of non-profit organisations so that survey evidence can be scaled-up reliably to produce credible and convincing findings on sector activities. It is designed to complement rather than replicate findings from the </w:t>
      </w:r>
      <w:r w:rsidRPr="0080630C">
        <w:rPr>
          <w:rFonts w:cs="Arial"/>
          <w:b/>
          <w:bCs/>
        </w:rPr>
        <w:t>NCVO UK Civil Society Almanac</w:t>
      </w:r>
      <w:r w:rsidRPr="0080630C">
        <w:rPr>
          <w:rFonts w:cs="Arial"/>
        </w:rPr>
        <w:t xml:space="preserve"> and </w:t>
      </w:r>
      <w:r w:rsidRPr="0080630C">
        <w:rPr>
          <w:rFonts w:cs="Arial"/>
          <w:b/>
          <w:bCs/>
        </w:rPr>
        <w:t>360 Giving</w:t>
      </w:r>
      <w:r w:rsidRPr="0080630C">
        <w:rPr>
          <w:rFonts w:cs="Arial"/>
        </w:rPr>
        <w:t>.</w:t>
      </w:r>
    </w:p>
    <w:p w14:paraId="67CDD533" w14:textId="761C65DE" w:rsidR="0080630C" w:rsidRPr="0080630C" w:rsidRDefault="0080630C" w:rsidP="001A0D85">
      <w:pPr>
        <w:rPr>
          <w:rFonts w:cs="Arial"/>
        </w:rPr>
      </w:pPr>
      <w:r w:rsidRPr="0080630C">
        <w:rPr>
          <w:rFonts w:cs="Arial"/>
        </w:rPr>
        <w:t>In 2022, its survey which closed on 1</w:t>
      </w:r>
      <w:r w:rsidRPr="0080630C">
        <w:rPr>
          <w:rFonts w:cs="Arial"/>
          <w:vertAlign w:val="superscript"/>
        </w:rPr>
        <w:t>st</w:t>
      </w:r>
      <w:r w:rsidRPr="0080630C">
        <w:rPr>
          <w:rFonts w:cs="Arial"/>
        </w:rPr>
        <w:t xml:space="preserve"> October received a nationally representative sample of over 6,000 responses from across England and Wales. The survey runs every three years.</w:t>
      </w:r>
      <w:r w:rsidR="001A0D85">
        <w:rPr>
          <w:rFonts w:cs="Arial"/>
        </w:rPr>
        <w:t xml:space="preserve"> </w:t>
      </w:r>
      <w:r w:rsidRPr="0080630C">
        <w:rPr>
          <w:rFonts w:cs="Arial"/>
        </w:rPr>
        <w:t xml:space="preserve">Analysis of the findings from the major survey will be released in phases over the next nine months on separate topics including: </w:t>
      </w:r>
    </w:p>
    <w:p w14:paraId="5E7904AE" w14:textId="3364EEE9" w:rsidR="0080630C" w:rsidRPr="0080630C" w:rsidRDefault="0080630C" w:rsidP="001A0D85">
      <w:pPr>
        <w:numPr>
          <w:ilvl w:val="0"/>
          <w:numId w:val="7"/>
        </w:numPr>
        <w:ind w:left="714" w:hanging="357"/>
        <w:rPr>
          <w:rFonts w:cs="Arial"/>
        </w:rPr>
      </w:pPr>
      <w:r w:rsidRPr="0080630C">
        <w:rPr>
          <w:rFonts w:cs="Arial"/>
        </w:rPr>
        <w:t>Third Sector structure, purpose, energy and impact</w:t>
      </w:r>
      <w:r w:rsidR="009061E7">
        <w:rPr>
          <w:rFonts w:cs="Arial"/>
        </w:rPr>
        <w:t xml:space="preserve"> (was published November 2022)</w:t>
      </w:r>
      <w:r w:rsidRPr="0080630C">
        <w:rPr>
          <w:rFonts w:cs="Arial"/>
        </w:rPr>
        <w:t>,</w:t>
      </w:r>
    </w:p>
    <w:p w14:paraId="63B56A6A" w14:textId="77777777" w:rsidR="0080630C" w:rsidRPr="0080630C" w:rsidRDefault="0080630C" w:rsidP="001A0D85">
      <w:pPr>
        <w:numPr>
          <w:ilvl w:val="0"/>
          <w:numId w:val="7"/>
        </w:numPr>
        <w:ind w:left="714" w:hanging="357"/>
        <w:rPr>
          <w:rFonts w:cs="Arial"/>
        </w:rPr>
      </w:pPr>
      <w:r w:rsidRPr="0080630C">
        <w:rPr>
          <w:rFonts w:cs="Arial"/>
        </w:rPr>
        <w:t>People in the Third Sector (December 2022),</w:t>
      </w:r>
    </w:p>
    <w:p w14:paraId="41C0513B" w14:textId="2D36C95B" w:rsidR="0080630C" w:rsidRPr="0080630C" w:rsidRDefault="00000BD0" w:rsidP="001A0D85">
      <w:pPr>
        <w:numPr>
          <w:ilvl w:val="0"/>
          <w:numId w:val="7"/>
        </w:numPr>
        <w:ind w:left="714" w:hanging="357"/>
        <w:rPr>
          <w:rFonts w:cs="Arial"/>
        </w:rPr>
      </w:pPr>
      <w:r>
        <w:rPr>
          <w:rFonts w:cs="Arial"/>
        </w:rPr>
        <w:t xml:space="preserve">Finances, assets and organisational wellbeing </w:t>
      </w:r>
      <w:r w:rsidR="0080630C" w:rsidRPr="0080630C">
        <w:rPr>
          <w:rFonts w:cs="Arial"/>
        </w:rPr>
        <w:t>(January 2023),</w:t>
      </w:r>
    </w:p>
    <w:p w14:paraId="09F90D6B" w14:textId="77777777" w:rsidR="0080630C" w:rsidRPr="0080630C" w:rsidRDefault="0080630C" w:rsidP="001A0D85">
      <w:pPr>
        <w:numPr>
          <w:ilvl w:val="0"/>
          <w:numId w:val="7"/>
        </w:numPr>
        <w:ind w:left="714" w:hanging="357"/>
        <w:rPr>
          <w:rFonts w:cs="Arial"/>
        </w:rPr>
      </w:pPr>
      <w:r w:rsidRPr="0080630C">
        <w:rPr>
          <w:rFonts w:cs="Arial"/>
        </w:rPr>
        <w:t>Third Sector inter-relationships (February 2023),</w:t>
      </w:r>
    </w:p>
    <w:p w14:paraId="32847233" w14:textId="77777777" w:rsidR="0080630C" w:rsidRPr="0080630C" w:rsidRDefault="0080630C" w:rsidP="001A0D85">
      <w:pPr>
        <w:numPr>
          <w:ilvl w:val="0"/>
          <w:numId w:val="7"/>
        </w:numPr>
        <w:ind w:left="714" w:hanging="357"/>
        <w:rPr>
          <w:rFonts w:cs="Arial"/>
        </w:rPr>
      </w:pPr>
      <w:r w:rsidRPr="0080630C">
        <w:rPr>
          <w:rFonts w:cs="Arial"/>
        </w:rPr>
        <w:t>The contribution of the Third Sector to localities (May 2023),</w:t>
      </w:r>
    </w:p>
    <w:p w14:paraId="1E1DEE70" w14:textId="77777777" w:rsidR="0080630C" w:rsidRPr="0080630C" w:rsidRDefault="0080630C" w:rsidP="001A0D85">
      <w:pPr>
        <w:rPr>
          <w:rFonts w:cs="Arial"/>
        </w:rPr>
      </w:pPr>
      <w:r w:rsidRPr="0080630C">
        <w:rPr>
          <w:rFonts w:cs="Arial"/>
        </w:rPr>
        <w:t xml:space="preserve">The project is funded in 2022 by </w:t>
      </w:r>
      <w:r w:rsidRPr="0080630C">
        <w:rPr>
          <w:rFonts w:cs="Arial"/>
          <w:b/>
          <w:bCs/>
          <w:i/>
          <w:iCs/>
        </w:rPr>
        <w:t xml:space="preserve">Community Foundation Tyne &amp; Wear and Northumberland, Power to Change, Barrow Cadbury Trust </w:t>
      </w:r>
      <w:r w:rsidRPr="0080630C">
        <w:rPr>
          <w:rFonts w:cs="Arial"/>
        </w:rPr>
        <w:t>and</w:t>
      </w:r>
      <w:r w:rsidRPr="0080630C">
        <w:rPr>
          <w:rFonts w:cs="Arial"/>
          <w:b/>
          <w:bCs/>
          <w:i/>
          <w:iCs/>
        </w:rPr>
        <w:t xml:space="preserve"> Millfield House Foundation</w:t>
      </w:r>
      <w:r w:rsidRPr="0080630C">
        <w:rPr>
          <w:rFonts w:cs="Arial"/>
        </w:rPr>
        <w:t>.</w:t>
      </w:r>
    </w:p>
    <w:p w14:paraId="502C8086" w14:textId="77777777" w:rsidR="00684CC2" w:rsidRDefault="00684CC2" w:rsidP="001A0D85">
      <w:pPr>
        <w:rPr>
          <w:rFonts w:cs="Arial"/>
          <w:b/>
          <w:bCs/>
          <w:u w:val="single"/>
        </w:rPr>
      </w:pPr>
    </w:p>
    <w:p w14:paraId="7D510557" w14:textId="696E868B" w:rsidR="0080630C" w:rsidRPr="001A0D85" w:rsidRDefault="0080630C" w:rsidP="001A0D85">
      <w:pPr>
        <w:rPr>
          <w:rFonts w:cs="Arial"/>
          <w:b/>
          <w:bCs/>
          <w:u w:val="single"/>
        </w:rPr>
      </w:pPr>
      <w:r w:rsidRPr="001A0D85">
        <w:rPr>
          <w:rFonts w:cs="Arial"/>
          <w:b/>
          <w:bCs/>
          <w:u w:val="single"/>
        </w:rPr>
        <w:t>For further detail on the study please contact:</w:t>
      </w:r>
    </w:p>
    <w:p w14:paraId="69A77BF5" w14:textId="67F02C14" w:rsidR="001A0D85" w:rsidRDefault="0080630C" w:rsidP="001A0D85">
      <w:pPr>
        <w:rPr>
          <w:rFonts w:cs="Arial"/>
        </w:rPr>
      </w:pPr>
      <w:r w:rsidRPr="0080630C">
        <w:rPr>
          <w:rFonts w:cs="Arial"/>
        </w:rPr>
        <w:t>Professor Tony Chapman, Policy&amp;Practice, St Chad’s College, Durham University</w:t>
      </w:r>
      <w:r w:rsidR="001A0D85">
        <w:rPr>
          <w:rFonts w:cs="Arial"/>
        </w:rPr>
        <w:t xml:space="preserve">, </w:t>
      </w:r>
    </w:p>
    <w:p w14:paraId="5BA0D495" w14:textId="77777777" w:rsidR="00684CC2" w:rsidRDefault="007C7BBF" w:rsidP="001A0D85">
      <w:pPr>
        <w:rPr>
          <w:rFonts w:cs="Arial"/>
          <w:color w:val="0563C1" w:themeColor="hyperlink"/>
          <w:u w:val="single"/>
        </w:rPr>
      </w:pPr>
      <w:hyperlink r:id="rId8" w:history="1">
        <w:r w:rsidR="001A0D85" w:rsidRPr="00CD124D">
          <w:rPr>
            <w:rStyle w:val="Hyperlink"/>
            <w:rFonts w:cs="Arial"/>
          </w:rPr>
          <w:t>Tony.chapman@durham.ac.uk</w:t>
        </w:r>
      </w:hyperlink>
      <w:r w:rsidR="001A0D85">
        <w:rPr>
          <w:rFonts w:cs="Arial"/>
          <w:color w:val="0563C1" w:themeColor="hyperlink"/>
          <w:u w:val="single"/>
        </w:rPr>
        <w:t>.</w:t>
      </w:r>
    </w:p>
    <w:p w14:paraId="487D1B3B" w14:textId="2783BE0E" w:rsidR="0080630C" w:rsidRDefault="0080630C" w:rsidP="001A0D85">
      <w:pPr>
        <w:rPr>
          <w:rFonts w:cs="Arial"/>
        </w:rPr>
      </w:pPr>
      <w:r w:rsidRPr="0080630C">
        <w:rPr>
          <w:rFonts w:cs="Arial"/>
        </w:rPr>
        <w:t>07949 022 627</w:t>
      </w:r>
    </w:p>
    <w:p w14:paraId="041EEF30" w14:textId="77777777" w:rsidR="00257487" w:rsidRDefault="00257487" w:rsidP="001A0D85">
      <w:pPr>
        <w:rPr>
          <w:rFonts w:cs="Arial"/>
        </w:rPr>
      </w:pPr>
    </w:p>
    <w:p w14:paraId="30BAC284" w14:textId="564B8273" w:rsidR="001A0D85" w:rsidRDefault="0080630C" w:rsidP="001A0D85">
      <w:pPr>
        <w:rPr>
          <w:rFonts w:cs="Arial"/>
        </w:rPr>
      </w:pPr>
      <w:r w:rsidRPr="0080630C">
        <w:rPr>
          <w:rFonts w:cs="Arial"/>
        </w:rPr>
        <w:t>Adam Lopardo, Director of Community Relations, Community Foundation Tyne &amp; Wear and Northumberland</w:t>
      </w:r>
      <w:r w:rsidR="001A0D85">
        <w:rPr>
          <w:rFonts w:cs="Arial"/>
        </w:rPr>
        <w:t xml:space="preserve">, </w:t>
      </w:r>
    </w:p>
    <w:p w14:paraId="0A32601B" w14:textId="77777777" w:rsidR="00684CC2" w:rsidRDefault="007C7BBF" w:rsidP="001A0D85">
      <w:pPr>
        <w:rPr>
          <w:rFonts w:cs="Arial"/>
          <w:color w:val="0563C1" w:themeColor="hyperlink"/>
          <w:u w:val="single"/>
        </w:rPr>
      </w:pPr>
      <w:hyperlink r:id="rId9" w:history="1">
        <w:r w:rsidR="001A0D85" w:rsidRPr="00CD124D">
          <w:rPr>
            <w:rStyle w:val="Hyperlink"/>
            <w:rFonts w:cs="Arial"/>
          </w:rPr>
          <w:t>al@communityfoundation.org.uk</w:t>
        </w:r>
      </w:hyperlink>
      <w:r w:rsidR="001A0D85">
        <w:rPr>
          <w:rFonts w:cs="Arial"/>
          <w:color w:val="0563C1" w:themeColor="hyperlink"/>
          <w:u w:val="single"/>
        </w:rPr>
        <w:t xml:space="preserve">, </w:t>
      </w:r>
    </w:p>
    <w:p w14:paraId="4707DDB2" w14:textId="440836FD" w:rsidR="0080630C" w:rsidRDefault="0080630C" w:rsidP="001A0D85">
      <w:r w:rsidRPr="0080630C">
        <w:rPr>
          <w:rFonts w:cs="Arial"/>
        </w:rPr>
        <w:t>0191 222 0945</w:t>
      </w:r>
    </w:p>
    <w:sectPr w:rsidR="0080630C" w:rsidSect="001A0D85">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26FE" w14:textId="77777777" w:rsidR="00EB28E4" w:rsidRDefault="00EB28E4" w:rsidP="00264CD2">
      <w:pPr>
        <w:spacing w:after="0"/>
      </w:pPr>
      <w:r>
        <w:separator/>
      </w:r>
    </w:p>
  </w:endnote>
  <w:endnote w:type="continuationSeparator" w:id="0">
    <w:p w14:paraId="364031CD" w14:textId="77777777" w:rsidR="00EB28E4" w:rsidRDefault="00EB28E4" w:rsidP="00264C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Zhongsong">
    <w:altName w:val="STZhongsong"/>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692521"/>
      <w:docPartObj>
        <w:docPartGallery w:val="Page Numbers (Bottom of Page)"/>
        <w:docPartUnique/>
      </w:docPartObj>
    </w:sdtPr>
    <w:sdtEndPr>
      <w:rPr>
        <w:noProof/>
      </w:rPr>
    </w:sdtEndPr>
    <w:sdtContent>
      <w:p w14:paraId="61281173" w14:textId="77777777" w:rsidR="0029174C" w:rsidRDefault="0029174C">
        <w:pPr>
          <w:pStyle w:val="Footer"/>
          <w:jc w:val="center"/>
        </w:pPr>
      </w:p>
      <w:p w14:paraId="060E8A93" w14:textId="77777777" w:rsidR="0029174C" w:rsidRDefault="0029174C">
        <w:pPr>
          <w:pStyle w:val="Footer"/>
          <w:jc w:val="center"/>
        </w:pPr>
      </w:p>
      <w:p w14:paraId="1DBCEF09" w14:textId="77777777" w:rsidR="0029174C" w:rsidRDefault="0029174C">
        <w:pPr>
          <w:pStyle w:val="Footer"/>
          <w:jc w:val="center"/>
        </w:pPr>
      </w:p>
      <w:p w14:paraId="0A281F8B" w14:textId="759CDC50" w:rsidR="0029174C" w:rsidRDefault="002917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9FB49A" w14:textId="77777777" w:rsidR="00264CD2" w:rsidRDefault="00264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F01F" w14:textId="77777777" w:rsidR="00EB28E4" w:rsidRDefault="00EB28E4" w:rsidP="00264CD2">
      <w:pPr>
        <w:spacing w:after="0"/>
      </w:pPr>
      <w:r>
        <w:separator/>
      </w:r>
    </w:p>
  </w:footnote>
  <w:footnote w:type="continuationSeparator" w:id="0">
    <w:p w14:paraId="0CE9B1E2" w14:textId="77777777" w:rsidR="00EB28E4" w:rsidRDefault="00EB28E4" w:rsidP="00264C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7ED"/>
    <w:multiLevelType w:val="hybridMultilevel"/>
    <w:tmpl w:val="E4309296"/>
    <w:lvl w:ilvl="0" w:tplc="B7D87C02">
      <w:start w:val="1"/>
      <w:numFmt w:val="bullet"/>
      <w:lvlText w:val="■"/>
      <w:lvlJc w:val="left"/>
      <w:pPr>
        <w:ind w:left="720" w:hanging="360"/>
      </w:pPr>
      <w:rPr>
        <w:rFonts w:ascii="STZhongsong" w:eastAsia="STZhongsong" w:hAnsi="STZhongsong" w:hint="eastAsia"/>
        <w:color w:val="2F5496" w:themeColor="accent1" w:themeShade="B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0534A"/>
    <w:multiLevelType w:val="hybridMultilevel"/>
    <w:tmpl w:val="1E2A93AC"/>
    <w:lvl w:ilvl="0" w:tplc="B7D87C02">
      <w:start w:val="1"/>
      <w:numFmt w:val="bullet"/>
      <w:lvlText w:val="■"/>
      <w:lvlJc w:val="left"/>
      <w:pPr>
        <w:ind w:left="2880" w:hanging="360"/>
      </w:pPr>
      <w:rPr>
        <w:rFonts w:ascii="STZhongsong" w:eastAsia="STZhongsong" w:hAnsi="STZhongsong" w:hint="eastAsia"/>
        <w:color w:val="2F5496" w:themeColor="accent1" w:themeShade="BF"/>
        <w:sz w:val="16"/>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185E0107"/>
    <w:multiLevelType w:val="hybridMultilevel"/>
    <w:tmpl w:val="532422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6143A"/>
    <w:multiLevelType w:val="hybridMultilevel"/>
    <w:tmpl w:val="427C017E"/>
    <w:lvl w:ilvl="0" w:tplc="B7D87C02">
      <w:start w:val="1"/>
      <w:numFmt w:val="bullet"/>
      <w:lvlText w:val="■"/>
      <w:lvlJc w:val="left"/>
      <w:pPr>
        <w:ind w:left="720" w:hanging="360"/>
      </w:pPr>
      <w:rPr>
        <w:rFonts w:ascii="STZhongsong" w:eastAsia="STZhongsong" w:hAnsi="STZhongsong" w:hint="eastAsia"/>
        <w:color w:val="2F5496" w:themeColor="accent1" w:themeShade="B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85E33"/>
    <w:multiLevelType w:val="hybridMultilevel"/>
    <w:tmpl w:val="0ACCAEA2"/>
    <w:lvl w:ilvl="0" w:tplc="B7D87C02">
      <w:start w:val="1"/>
      <w:numFmt w:val="bullet"/>
      <w:lvlText w:val="■"/>
      <w:lvlJc w:val="left"/>
      <w:pPr>
        <w:ind w:left="2880" w:hanging="360"/>
      </w:pPr>
      <w:rPr>
        <w:rFonts w:ascii="STZhongsong" w:eastAsia="STZhongsong" w:hAnsi="STZhongsong" w:hint="eastAsia"/>
        <w:color w:val="2F5496" w:themeColor="accent1" w:themeShade="BF"/>
        <w:sz w:val="16"/>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2CAA3F1D"/>
    <w:multiLevelType w:val="hybridMultilevel"/>
    <w:tmpl w:val="D54C51EA"/>
    <w:lvl w:ilvl="0" w:tplc="B7D87C02">
      <w:start w:val="1"/>
      <w:numFmt w:val="bullet"/>
      <w:lvlText w:val="■"/>
      <w:lvlJc w:val="left"/>
      <w:pPr>
        <w:ind w:left="720" w:hanging="360"/>
      </w:pPr>
      <w:rPr>
        <w:rFonts w:ascii="STZhongsong" w:eastAsia="STZhongsong" w:hAnsi="STZhongsong" w:hint="eastAsia"/>
        <w:color w:val="2F5496" w:themeColor="accent1" w:themeShade="B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70D3F"/>
    <w:multiLevelType w:val="hybridMultilevel"/>
    <w:tmpl w:val="AD52C09C"/>
    <w:lvl w:ilvl="0" w:tplc="B7D87C02">
      <w:start w:val="1"/>
      <w:numFmt w:val="bullet"/>
      <w:lvlText w:val="■"/>
      <w:lvlJc w:val="left"/>
      <w:pPr>
        <w:ind w:left="720" w:hanging="360"/>
      </w:pPr>
      <w:rPr>
        <w:rFonts w:ascii="STZhongsong" w:eastAsia="STZhongsong" w:hAnsi="STZhongsong" w:hint="eastAsia"/>
        <w:color w:val="2F5496" w:themeColor="accent1" w:themeShade="B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96095"/>
    <w:multiLevelType w:val="hybridMultilevel"/>
    <w:tmpl w:val="D9DA1CF8"/>
    <w:lvl w:ilvl="0" w:tplc="9D9C13BE">
      <w:start w:val="1"/>
      <w:numFmt w:val="bullet"/>
      <w:lvlText w:val=""/>
      <w:lvlJc w:val="left"/>
      <w:pPr>
        <w:ind w:left="720" w:hanging="360"/>
      </w:pPr>
      <w:rPr>
        <w:rFonts w:ascii="Wingdings" w:hAnsi="Wingdings" w:hint="default"/>
        <w:color w:val="2F5496" w:themeColor="accent1" w:themeShade="BF"/>
        <w:sz w:val="24"/>
        <w:u w:color="323E4F"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5142D"/>
    <w:multiLevelType w:val="hybridMultilevel"/>
    <w:tmpl w:val="47DC1548"/>
    <w:lvl w:ilvl="0" w:tplc="B7D87C02">
      <w:start w:val="1"/>
      <w:numFmt w:val="bullet"/>
      <w:lvlText w:val="■"/>
      <w:lvlJc w:val="left"/>
      <w:pPr>
        <w:ind w:left="2880" w:hanging="360"/>
      </w:pPr>
      <w:rPr>
        <w:rFonts w:ascii="STZhongsong" w:eastAsia="STZhongsong" w:hAnsi="STZhongsong" w:hint="eastAsia"/>
        <w:color w:val="2F5496" w:themeColor="accent1" w:themeShade="BF"/>
        <w:sz w:val="16"/>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53BC18C0"/>
    <w:multiLevelType w:val="hybridMultilevel"/>
    <w:tmpl w:val="4B043D80"/>
    <w:lvl w:ilvl="0" w:tplc="B7D87C02">
      <w:start w:val="1"/>
      <w:numFmt w:val="bullet"/>
      <w:lvlText w:val="■"/>
      <w:lvlJc w:val="left"/>
      <w:pPr>
        <w:ind w:left="2880" w:hanging="360"/>
      </w:pPr>
      <w:rPr>
        <w:rFonts w:ascii="STZhongsong" w:eastAsia="STZhongsong" w:hAnsi="STZhongsong" w:hint="eastAsia"/>
        <w:color w:val="2F5496" w:themeColor="accent1" w:themeShade="BF"/>
        <w:sz w:val="16"/>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518354C"/>
    <w:multiLevelType w:val="hybridMultilevel"/>
    <w:tmpl w:val="B27CACAC"/>
    <w:lvl w:ilvl="0" w:tplc="B7D87C02">
      <w:start w:val="1"/>
      <w:numFmt w:val="bullet"/>
      <w:lvlText w:val="■"/>
      <w:lvlJc w:val="left"/>
      <w:pPr>
        <w:ind w:left="2880" w:hanging="360"/>
      </w:pPr>
      <w:rPr>
        <w:rFonts w:ascii="STZhongsong" w:eastAsia="STZhongsong" w:hAnsi="STZhongsong" w:hint="eastAsia"/>
        <w:color w:val="2F5496" w:themeColor="accent1" w:themeShade="BF"/>
        <w:sz w:val="16"/>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D734A4D"/>
    <w:multiLevelType w:val="hybridMultilevel"/>
    <w:tmpl w:val="68D64F02"/>
    <w:lvl w:ilvl="0" w:tplc="B7D87C02">
      <w:start w:val="1"/>
      <w:numFmt w:val="bullet"/>
      <w:lvlText w:val="■"/>
      <w:lvlJc w:val="left"/>
      <w:pPr>
        <w:ind w:left="2880" w:hanging="360"/>
      </w:pPr>
      <w:rPr>
        <w:rFonts w:ascii="STZhongsong" w:eastAsia="STZhongsong" w:hAnsi="STZhongsong" w:hint="eastAsia"/>
        <w:color w:val="2F5496" w:themeColor="accent1" w:themeShade="BF"/>
        <w:sz w:val="16"/>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641B206D"/>
    <w:multiLevelType w:val="hybridMultilevel"/>
    <w:tmpl w:val="76C4A690"/>
    <w:lvl w:ilvl="0" w:tplc="9D9C13BE">
      <w:start w:val="1"/>
      <w:numFmt w:val="bullet"/>
      <w:lvlText w:val=""/>
      <w:lvlJc w:val="left"/>
      <w:pPr>
        <w:ind w:left="720" w:hanging="360"/>
      </w:pPr>
      <w:rPr>
        <w:rFonts w:ascii="Wingdings" w:hAnsi="Wingdings" w:hint="default"/>
        <w:color w:val="2F5496" w:themeColor="accent1" w:themeShade="BF"/>
        <w:sz w:val="24"/>
        <w:u w:color="323E4F"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2630D"/>
    <w:multiLevelType w:val="hybridMultilevel"/>
    <w:tmpl w:val="4B68347C"/>
    <w:lvl w:ilvl="0" w:tplc="B7D87C02">
      <w:start w:val="1"/>
      <w:numFmt w:val="bullet"/>
      <w:lvlText w:val="■"/>
      <w:lvlJc w:val="left"/>
      <w:pPr>
        <w:ind w:left="720" w:hanging="360"/>
      </w:pPr>
      <w:rPr>
        <w:rFonts w:ascii="STZhongsong" w:eastAsia="STZhongsong" w:hAnsi="STZhongsong" w:hint="eastAsia"/>
        <w:color w:val="2F5496" w:themeColor="accent1" w:themeShade="B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94167"/>
    <w:multiLevelType w:val="hybridMultilevel"/>
    <w:tmpl w:val="B5BC8976"/>
    <w:lvl w:ilvl="0" w:tplc="B7D87C02">
      <w:start w:val="1"/>
      <w:numFmt w:val="bullet"/>
      <w:lvlText w:val="■"/>
      <w:lvlJc w:val="left"/>
      <w:pPr>
        <w:ind w:left="2944" w:hanging="360"/>
      </w:pPr>
      <w:rPr>
        <w:rFonts w:ascii="STZhongsong" w:eastAsia="STZhongsong" w:hAnsi="STZhongsong" w:hint="eastAsia"/>
        <w:color w:val="2F5496" w:themeColor="accent1" w:themeShade="BF"/>
        <w:sz w:val="16"/>
      </w:rPr>
    </w:lvl>
    <w:lvl w:ilvl="1" w:tplc="08090003" w:tentative="1">
      <w:start w:val="1"/>
      <w:numFmt w:val="bullet"/>
      <w:lvlText w:val="o"/>
      <w:lvlJc w:val="left"/>
      <w:pPr>
        <w:ind w:left="3664" w:hanging="360"/>
      </w:pPr>
      <w:rPr>
        <w:rFonts w:ascii="Courier New" w:hAnsi="Courier New" w:cs="Courier New" w:hint="default"/>
      </w:rPr>
    </w:lvl>
    <w:lvl w:ilvl="2" w:tplc="08090005" w:tentative="1">
      <w:start w:val="1"/>
      <w:numFmt w:val="bullet"/>
      <w:lvlText w:val=""/>
      <w:lvlJc w:val="left"/>
      <w:pPr>
        <w:ind w:left="4384" w:hanging="360"/>
      </w:pPr>
      <w:rPr>
        <w:rFonts w:ascii="Wingdings" w:hAnsi="Wingdings" w:hint="default"/>
      </w:rPr>
    </w:lvl>
    <w:lvl w:ilvl="3" w:tplc="08090001" w:tentative="1">
      <w:start w:val="1"/>
      <w:numFmt w:val="bullet"/>
      <w:lvlText w:val=""/>
      <w:lvlJc w:val="left"/>
      <w:pPr>
        <w:ind w:left="5104" w:hanging="360"/>
      </w:pPr>
      <w:rPr>
        <w:rFonts w:ascii="Symbol" w:hAnsi="Symbol" w:hint="default"/>
      </w:rPr>
    </w:lvl>
    <w:lvl w:ilvl="4" w:tplc="08090003" w:tentative="1">
      <w:start w:val="1"/>
      <w:numFmt w:val="bullet"/>
      <w:lvlText w:val="o"/>
      <w:lvlJc w:val="left"/>
      <w:pPr>
        <w:ind w:left="5824" w:hanging="360"/>
      </w:pPr>
      <w:rPr>
        <w:rFonts w:ascii="Courier New" w:hAnsi="Courier New" w:cs="Courier New" w:hint="default"/>
      </w:rPr>
    </w:lvl>
    <w:lvl w:ilvl="5" w:tplc="08090005" w:tentative="1">
      <w:start w:val="1"/>
      <w:numFmt w:val="bullet"/>
      <w:lvlText w:val=""/>
      <w:lvlJc w:val="left"/>
      <w:pPr>
        <w:ind w:left="6544" w:hanging="360"/>
      </w:pPr>
      <w:rPr>
        <w:rFonts w:ascii="Wingdings" w:hAnsi="Wingdings" w:hint="default"/>
      </w:rPr>
    </w:lvl>
    <w:lvl w:ilvl="6" w:tplc="08090001" w:tentative="1">
      <w:start w:val="1"/>
      <w:numFmt w:val="bullet"/>
      <w:lvlText w:val=""/>
      <w:lvlJc w:val="left"/>
      <w:pPr>
        <w:ind w:left="7264" w:hanging="360"/>
      </w:pPr>
      <w:rPr>
        <w:rFonts w:ascii="Symbol" w:hAnsi="Symbol" w:hint="default"/>
      </w:rPr>
    </w:lvl>
    <w:lvl w:ilvl="7" w:tplc="08090003" w:tentative="1">
      <w:start w:val="1"/>
      <w:numFmt w:val="bullet"/>
      <w:lvlText w:val="o"/>
      <w:lvlJc w:val="left"/>
      <w:pPr>
        <w:ind w:left="7984" w:hanging="360"/>
      </w:pPr>
      <w:rPr>
        <w:rFonts w:ascii="Courier New" w:hAnsi="Courier New" w:cs="Courier New" w:hint="default"/>
      </w:rPr>
    </w:lvl>
    <w:lvl w:ilvl="8" w:tplc="08090005" w:tentative="1">
      <w:start w:val="1"/>
      <w:numFmt w:val="bullet"/>
      <w:lvlText w:val=""/>
      <w:lvlJc w:val="left"/>
      <w:pPr>
        <w:ind w:left="8704" w:hanging="360"/>
      </w:pPr>
      <w:rPr>
        <w:rFonts w:ascii="Wingdings" w:hAnsi="Wingdings" w:hint="default"/>
      </w:rPr>
    </w:lvl>
  </w:abstractNum>
  <w:num w:numId="1" w16cid:durableId="460460613">
    <w:abstractNumId w:val="3"/>
  </w:num>
  <w:num w:numId="2" w16cid:durableId="641618703">
    <w:abstractNumId w:val="6"/>
  </w:num>
  <w:num w:numId="3" w16cid:durableId="2069300005">
    <w:abstractNumId w:val="13"/>
  </w:num>
  <w:num w:numId="4" w16cid:durableId="1236090177">
    <w:abstractNumId w:val="5"/>
  </w:num>
  <w:num w:numId="5" w16cid:durableId="751005164">
    <w:abstractNumId w:val="7"/>
  </w:num>
  <w:num w:numId="6" w16cid:durableId="1466459708">
    <w:abstractNumId w:val="12"/>
  </w:num>
  <w:num w:numId="7" w16cid:durableId="1979139954">
    <w:abstractNumId w:val="2"/>
  </w:num>
  <w:num w:numId="8" w16cid:durableId="790396663">
    <w:abstractNumId w:val="9"/>
  </w:num>
  <w:num w:numId="9" w16cid:durableId="762528614">
    <w:abstractNumId w:val="1"/>
  </w:num>
  <w:num w:numId="10" w16cid:durableId="1903100238">
    <w:abstractNumId w:val="4"/>
  </w:num>
  <w:num w:numId="11" w16cid:durableId="757137671">
    <w:abstractNumId w:val="10"/>
  </w:num>
  <w:num w:numId="12" w16cid:durableId="585651907">
    <w:abstractNumId w:val="8"/>
  </w:num>
  <w:num w:numId="13" w16cid:durableId="1186672232">
    <w:abstractNumId w:val="11"/>
  </w:num>
  <w:num w:numId="14" w16cid:durableId="244146781">
    <w:abstractNumId w:val="14"/>
  </w:num>
  <w:num w:numId="15" w16cid:durableId="172401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9D"/>
    <w:rsid w:val="00000BD0"/>
    <w:rsid w:val="000204C3"/>
    <w:rsid w:val="000611F0"/>
    <w:rsid w:val="000A389E"/>
    <w:rsid w:val="000A455B"/>
    <w:rsid w:val="000C474C"/>
    <w:rsid w:val="00146B4D"/>
    <w:rsid w:val="00157953"/>
    <w:rsid w:val="001910C3"/>
    <w:rsid w:val="001A0D85"/>
    <w:rsid w:val="001B00C6"/>
    <w:rsid w:val="001C0406"/>
    <w:rsid w:val="002106DD"/>
    <w:rsid w:val="00257487"/>
    <w:rsid w:val="0026279C"/>
    <w:rsid w:val="00264CD2"/>
    <w:rsid w:val="002761BB"/>
    <w:rsid w:val="0029174C"/>
    <w:rsid w:val="002B6033"/>
    <w:rsid w:val="002D0C07"/>
    <w:rsid w:val="002D3267"/>
    <w:rsid w:val="002E6AA6"/>
    <w:rsid w:val="003129C5"/>
    <w:rsid w:val="003367D6"/>
    <w:rsid w:val="00344B15"/>
    <w:rsid w:val="00372820"/>
    <w:rsid w:val="00386C8E"/>
    <w:rsid w:val="00400396"/>
    <w:rsid w:val="00402C22"/>
    <w:rsid w:val="00431166"/>
    <w:rsid w:val="00441896"/>
    <w:rsid w:val="004D78E4"/>
    <w:rsid w:val="004E68D7"/>
    <w:rsid w:val="00504B79"/>
    <w:rsid w:val="0051795A"/>
    <w:rsid w:val="0052020A"/>
    <w:rsid w:val="00526CD0"/>
    <w:rsid w:val="00557A22"/>
    <w:rsid w:val="00596817"/>
    <w:rsid w:val="00600B14"/>
    <w:rsid w:val="00602BAC"/>
    <w:rsid w:val="0063232F"/>
    <w:rsid w:val="00684CC2"/>
    <w:rsid w:val="006A447B"/>
    <w:rsid w:val="006C244A"/>
    <w:rsid w:val="0070640B"/>
    <w:rsid w:val="00757042"/>
    <w:rsid w:val="007B1821"/>
    <w:rsid w:val="007B1B8D"/>
    <w:rsid w:val="007C16C9"/>
    <w:rsid w:val="007C7BBF"/>
    <w:rsid w:val="00800D69"/>
    <w:rsid w:val="0080630C"/>
    <w:rsid w:val="008A5879"/>
    <w:rsid w:val="008F2DE0"/>
    <w:rsid w:val="008F5F97"/>
    <w:rsid w:val="009061E7"/>
    <w:rsid w:val="009316F7"/>
    <w:rsid w:val="00957034"/>
    <w:rsid w:val="00965939"/>
    <w:rsid w:val="00977092"/>
    <w:rsid w:val="009B22D5"/>
    <w:rsid w:val="009B433C"/>
    <w:rsid w:val="00A443B8"/>
    <w:rsid w:val="00AB1ED6"/>
    <w:rsid w:val="00AB5ABB"/>
    <w:rsid w:val="00AE461B"/>
    <w:rsid w:val="00AE4A82"/>
    <w:rsid w:val="00B62B3D"/>
    <w:rsid w:val="00B66109"/>
    <w:rsid w:val="00BB0114"/>
    <w:rsid w:val="00BE64F0"/>
    <w:rsid w:val="00C14A9D"/>
    <w:rsid w:val="00C4769E"/>
    <w:rsid w:val="00C82005"/>
    <w:rsid w:val="00CC096C"/>
    <w:rsid w:val="00D123B9"/>
    <w:rsid w:val="00D12412"/>
    <w:rsid w:val="00D20E6A"/>
    <w:rsid w:val="00D36299"/>
    <w:rsid w:val="00DA4606"/>
    <w:rsid w:val="00DA67E6"/>
    <w:rsid w:val="00DD4E97"/>
    <w:rsid w:val="00DE4BE9"/>
    <w:rsid w:val="00E22D41"/>
    <w:rsid w:val="00E62506"/>
    <w:rsid w:val="00E73727"/>
    <w:rsid w:val="00EB28E4"/>
    <w:rsid w:val="00EF40B7"/>
    <w:rsid w:val="00F2348B"/>
    <w:rsid w:val="00F55318"/>
    <w:rsid w:val="00F77CA5"/>
    <w:rsid w:val="00FA5990"/>
    <w:rsid w:val="00FC4AF1"/>
    <w:rsid w:val="00FE1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D76E"/>
  <w15:chartTrackingRefBased/>
  <w15:docId w15:val="{7F7C7506-8E4E-43D7-9569-FBDFABF6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0B7"/>
    <w:pPr>
      <w:spacing w:after="120" w:line="240" w:lineRule="auto"/>
    </w:pPr>
    <w:rPr>
      <w:rFonts w:ascii="Arial" w:hAnsi="Arial"/>
    </w:rPr>
  </w:style>
  <w:style w:type="paragraph" w:styleId="Heading1">
    <w:name w:val="heading 1"/>
    <w:basedOn w:val="Normal"/>
    <w:next w:val="Normal"/>
    <w:link w:val="Heading1Char"/>
    <w:uiPriority w:val="9"/>
    <w:qFormat/>
    <w:rsid w:val="002917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P&amp;P Sub-heading"/>
    <w:basedOn w:val="Normal"/>
    <w:link w:val="Heading2Char"/>
    <w:uiPriority w:val="9"/>
    <w:qFormat/>
    <w:rsid w:val="008A5879"/>
    <w:pPr>
      <w:ind w:left="1440"/>
      <w:outlineLvl w:val="1"/>
    </w:pPr>
    <w:rPr>
      <w:rFonts w:eastAsia="Times New Roman" w:cs="Times New Roman"/>
      <w:b/>
      <w:bCs/>
      <w:color w:val="2F5496" w:themeColor="accent1" w:themeShade="BF"/>
      <w:sz w:val="32"/>
      <w:szCs w:val="36"/>
      <w:lang w:eastAsia="en-GB"/>
    </w:rPr>
  </w:style>
  <w:style w:type="paragraph" w:styleId="Heading3">
    <w:name w:val="heading 3"/>
    <w:basedOn w:val="Normal"/>
    <w:next w:val="Normal"/>
    <w:link w:val="Heading3Char"/>
    <w:uiPriority w:val="9"/>
    <w:unhideWhenUsed/>
    <w:qFormat/>
    <w:rsid w:val="00FE18C5"/>
    <w:pPr>
      <w:keepNext/>
      <w:keepLines/>
      <w:outlineLvl w:val="2"/>
    </w:pPr>
    <w:rPr>
      <w:rFonts w:eastAsiaTheme="majorEastAsia" w:cstheme="majorBidi"/>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mp;P Sub-heading Char"/>
    <w:basedOn w:val="DefaultParagraphFont"/>
    <w:link w:val="Heading2"/>
    <w:uiPriority w:val="9"/>
    <w:rsid w:val="008A5879"/>
    <w:rPr>
      <w:rFonts w:ascii="Arial" w:eastAsia="Times New Roman" w:hAnsi="Arial" w:cs="Times New Roman"/>
      <w:b/>
      <w:bCs/>
      <w:color w:val="2F5496" w:themeColor="accent1" w:themeShade="BF"/>
      <w:sz w:val="32"/>
      <w:szCs w:val="36"/>
      <w:lang w:eastAsia="en-GB"/>
    </w:rPr>
  </w:style>
  <w:style w:type="character" w:customStyle="1" w:styleId="Heading3Char">
    <w:name w:val="Heading 3 Char"/>
    <w:basedOn w:val="DefaultParagraphFont"/>
    <w:link w:val="Heading3"/>
    <w:uiPriority w:val="9"/>
    <w:rsid w:val="00FE18C5"/>
    <w:rPr>
      <w:rFonts w:ascii="Arial" w:eastAsiaTheme="majorEastAsia" w:hAnsi="Arial" w:cstheme="majorBidi"/>
      <w:b/>
      <w:i/>
      <w:sz w:val="28"/>
      <w:szCs w:val="24"/>
      <w:lang w:eastAsia="en-GB"/>
    </w:rPr>
  </w:style>
  <w:style w:type="paragraph" w:customStyle="1" w:styleId="PPChapterheading">
    <w:name w:val="P&amp;P Chapter heading"/>
    <w:basedOn w:val="Normal"/>
    <w:link w:val="PPChapterheadingChar"/>
    <w:qFormat/>
    <w:rsid w:val="00AE4A82"/>
    <w:rPr>
      <w:rFonts w:eastAsia="Calibri" w:cs="Times New Roman"/>
      <w:b/>
      <w:color w:val="2F5496" w:themeColor="accent1" w:themeShade="BF"/>
      <w:sz w:val="44"/>
      <w:szCs w:val="44"/>
      <w:lang w:eastAsia="en-GB"/>
    </w:rPr>
  </w:style>
  <w:style w:type="character" w:customStyle="1" w:styleId="PPChapterheadingChar">
    <w:name w:val="P&amp;P Chapter heading Char"/>
    <w:link w:val="PPChapterheading"/>
    <w:rsid w:val="00AE4A82"/>
    <w:rPr>
      <w:rFonts w:ascii="Arial" w:eastAsia="Calibri" w:hAnsi="Arial" w:cs="Times New Roman"/>
      <w:b/>
      <w:color w:val="2F5496" w:themeColor="accent1" w:themeShade="BF"/>
      <w:sz w:val="44"/>
      <w:szCs w:val="44"/>
      <w:lang w:eastAsia="en-GB"/>
    </w:rPr>
  </w:style>
  <w:style w:type="paragraph" w:customStyle="1" w:styleId="PPSECTIONHEADING">
    <w:name w:val="P&amp;P SECTION HEADING"/>
    <w:basedOn w:val="PPChapterheading"/>
    <w:link w:val="PPSECTIONHEADINGChar"/>
    <w:autoRedefine/>
    <w:qFormat/>
    <w:rsid w:val="00386C8E"/>
    <w:rPr>
      <w:sz w:val="32"/>
      <w:szCs w:val="28"/>
    </w:rPr>
  </w:style>
  <w:style w:type="character" w:customStyle="1" w:styleId="PPSECTIONHEADINGChar">
    <w:name w:val="P&amp;P SECTION HEADING Char"/>
    <w:link w:val="PPSECTIONHEADING"/>
    <w:rsid w:val="00386C8E"/>
    <w:rPr>
      <w:rFonts w:ascii="Arial" w:eastAsia="Calibri" w:hAnsi="Arial" w:cs="Times New Roman"/>
      <w:b/>
      <w:color w:val="2F5496" w:themeColor="accent1" w:themeShade="BF"/>
      <w:sz w:val="32"/>
      <w:szCs w:val="28"/>
      <w:lang w:eastAsia="en-GB"/>
    </w:rPr>
  </w:style>
  <w:style w:type="paragraph" w:styleId="ListParagraph">
    <w:name w:val="List Paragraph"/>
    <w:basedOn w:val="Normal"/>
    <w:link w:val="ListParagraphChar"/>
    <w:uiPriority w:val="34"/>
    <w:qFormat/>
    <w:rsid w:val="00F55318"/>
    <w:pPr>
      <w:ind w:left="720"/>
      <w:contextualSpacing/>
    </w:pPr>
  </w:style>
  <w:style w:type="character" w:styleId="Hyperlink">
    <w:name w:val="Hyperlink"/>
    <w:basedOn w:val="DefaultParagraphFont"/>
    <w:uiPriority w:val="99"/>
    <w:unhideWhenUsed/>
    <w:rsid w:val="00AE461B"/>
    <w:rPr>
      <w:color w:val="0000FF"/>
      <w:u w:val="single"/>
    </w:rPr>
  </w:style>
  <w:style w:type="character" w:styleId="UnresolvedMention">
    <w:name w:val="Unresolved Mention"/>
    <w:basedOn w:val="DefaultParagraphFont"/>
    <w:uiPriority w:val="99"/>
    <w:semiHidden/>
    <w:unhideWhenUsed/>
    <w:rsid w:val="00D20E6A"/>
    <w:rPr>
      <w:color w:val="605E5C"/>
      <w:shd w:val="clear" w:color="auto" w:fill="E1DFDD"/>
    </w:rPr>
  </w:style>
  <w:style w:type="paragraph" w:styleId="Header">
    <w:name w:val="header"/>
    <w:basedOn w:val="Normal"/>
    <w:link w:val="HeaderChar"/>
    <w:uiPriority w:val="99"/>
    <w:unhideWhenUsed/>
    <w:rsid w:val="00264CD2"/>
    <w:pPr>
      <w:tabs>
        <w:tab w:val="center" w:pos="4513"/>
        <w:tab w:val="right" w:pos="9026"/>
      </w:tabs>
      <w:spacing w:after="0"/>
    </w:pPr>
  </w:style>
  <w:style w:type="character" w:customStyle="1" w:styleId="HeaderChar">
    <w:name w:val="Header Char"/>
    <w:basedOn w:val="DefaultParagraphFont"/>
    <w:link w:val="Header"/>
    <w:uiPriority w:val="99"/>
    <w:rsid w:val="00264CD2"/>
    <w:rPr>
      <w:rFonts w:ascii="Arial" w:hAnsi="Arial"/>
    </w:rPr>
  </w:style>
  <w:style w:type="paragraph" w:styleId="Footer">
    <w:name w:val="footer"/>
    <w:basedOn w:val="Normal"/>
    <w:link w:val="FooterChar"/>
    <w:uiPriority w:val="99"/>
    <w:unhideWhenUsed/>
    <w:rsid w:val="00264CD2"/>
    <w:pPr>
      <w:tabs>
        <w:tab w:val="center" w:pos="4513"/>
        <w:tab w:val="right" w:pos="9026"/>
      </w:tabs>
      <w:spacing w:after="0"/>
    </w:pPr>
  </w:style>
  <w:style w:type="character" w:customStyle="1" w:styleId="FooterChar">
    <w:name w:val="Footer Char"/>
    <w:basedOn w:val="DefaultParagraphFont"/>
    <w:link w:val="Footer"/>
    <w:uiPriority w:val="99"/>
    <w:rsid w:val="00264CD2"/>
    <w:rPr>
      <w:rFonts w:ascii="Arial" w:hAnsi="Arial"/>
    </w:rPr>
  </w:style>
  <w:style w:type="paragraph" w:styleId="FootnoteText">
    <w:name w:val="footnote text"/>
    <w:basedOn w:val="Normal"/>
    <w:link w:val="FootnoteTextChar"/>
    <w:uiPriority w:val="99"/>
    <w:semiHidden/>
    <w:unhideWhenUsed/>
    <w:rsid w:val="00A443B8"/>
    <w:pPr>
      <w:spacing w:after="0"/>
    </w:pPr>
    <w:rPr>
      <w:sz w:val="20"/>
      <w:szCs w:val="20"/>
    </w:rPr>
  </w:style>
  <w:style w:type="character" w:customStyle="1" w:styleId="FootnoteTextChar">
    <w:name w:val="Footnote Text Char"/>
    <w:basedOn w:val="DefaultParagraphFont"/>
    <w:link w:val="FootnoteText"/>
    <w:uiPriority w:val="99"/>
    <w:semiHidden/>
    <w:rsid w:val="00A443B8"/>
    <w:rPr>
      <w:rFonts w:ascii="Arial" w:hAnsi="Arial"/>
      <w:sz w:val="20"/>
      <w:szCs w:val="20"/>
    </w:rPr>
  </w:style>
  <w:style w:type="character" w:styleId="FootnoteReference">
    <w:name w:val="footnote reference"/>
    <w:basedOn w:val="DefaultParagraphFont"/>
    <w:uiPriority w:val="99"/>
    <w:semiHidden/>
    <w:unhideWhenUsed/>
    <w:rsid w:val="00A443B8"/>
    <w:rPr>
      <w:vertAlign w:val="superscript"/>
    </w:rPr>
  </w:style>
  <w:style w:type="character" w:styleId="FollowedHyperlink">
    <w:name w:val="FollowedHyperlink"/>
    <w:basedOn w:val="DefaultParagraphFont"/>
    <w:uiPriority w:val="99"/>
    <w:semiHidden/>
    <w:unhideWhenUsed/>
    <w:rsid w:val="00965939"/>
    <w:rPr>
      <w:color w:val="954F72" w:themeColor="followedHyperlink"/>
      <w:u w:val="single"/>
    </w:rPr>
  </w:style>
  <w:style w:type="character" w:customStyle="1" w:styleId="Heading1Char">
    <w:name w:val="Heading 1 Char"/>
    <w:basedOn w:val="DefaultParagraphFont"/>
    <w:link w:val="Heading1"/>
    <w:uiPriority w:val="9"/>
    <w:rsid w:val="0029174C"/>
    <w:rPr>
      <w:rFonts w:asciiTheme="majorHAnsi" w:eastAsiaTheme="majorEastAsia" w:hAnsiTheme="majorHAnsi" w:cstheme="majorBidi"/>
      <w:color w:val="2F5496" w:themeColor="accent1" w:themeShade="BF"/>
      <w:sz w:val="32"/>
      <w:szCs w:val="32"/>
    </w:rPr>
  </w:style>
  <w:style w:type="character" w:customStyle="1" w:styleId="PPsubheading">
    <w:name w:val="P&amp;P sub heading"/>
    <w:basedOn w:val="DefaultParagraphFont"/>
    <w:qFormat/>
    <w:rsid w:val="0029174C"/>
    <w:rPr>
      <w:rFonts w:ascii="Arial" w:eastAsia="Times New Roman" w:hAnsi="Arial" w:cs="Arial"/>
      <w:b/>
      <w:bCs/>
      <w:i/>
      <w:color w:val="auto"/>
      <w:sz w:val="28"/>
      <w:szCs w:val="28"/>
    </w:rPr>
  </w:style>
  <w:style w:type="character" w:customStyle="1" w:styleId="ListParagraphChar">
    <w:name w:val="List Paragraph Char"/>
    <w:basedOn w:val="DefaultParagraphFont"/>
    <w:link w:val="ListParagraph"/>
    <w:uiPriority w:val="34"/>
    <w:rsid w:val="0029174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chapman@dur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community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A32C2-3B09-4EEB-B3B5-2735EB63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1590</Words>
  <Characters>9066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Chapman</dc:creator>
  <cp:keywords/>
  <dc:description/>
  <cp:lastModifiedBy>Nicola Smith</cp:lastModifiedBy>
  <cp:revision>2</cp:revision>
  <cp:lastPrinted>2022-12-11T18:38:00Z</cp:lastPrinted>
  <dcterms:created xsi:type="dcterms:W3CDTF">2023-01-20T14:46:00Z</dcterms:created>
  <dcterms:modified xsi:type="dcterms:W3CDTF">2023-01-20T14:46:00Z</dcterms:modified>
</cp:coreProperties>
</file>